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6F30" w:rsidRPr="005A2817" w:rsidRDefault="002F6F30" w:rsidP="00506C36">
      <w:pPr>
        <w:pStyle w:val="Title"/>
        <w:spacing w:line="480" w:lineRule="auto"/>
        <w:rPr>
          <w:rFonts w:asciiTheme="minorHAnsi" w:hAnsiTheme="minorHAnsi" w:cs="Calibri"/>
        </w:rPr>
      </w:pPr>
    </w:p>
    <w:p w:rsidR="002F6F30" w:rsidRPr="005A2817" w:rsidRDefault="002F6F30">
      <w:pPr>
        <w:pStyle w:val="Title"/>
        <w:rPr>
          <w:rFonts w:asciiTheme="minorHAnsi" w:hAnsiTheme="minorHAnsi" w:cs="Calibri"/>
          <w:sz w:val="28"/>
          <w:szCs w:val="28"/>
        </w:rPr>
      </w:pPr>
    </w:p>
    <w:p w:rsidR="002F6F30" w:rsidRPr="005A2817" w:rsidRDefault="002F6F30">
      <w:pPr>
        <w:pStyle w:val="Title"/>
        <w:rPr>
          <w:rFonts w:asciiTheme="minorHAnsi" w:hAnsiTheme="minorHAnsi" w:cs="Calibri"/>
          <w:sz w:val="28"/>
          <w:szCs w:val="28"/>
        </w:rPr>
      </w:pPr>
      <w:r w:rsidRPr="005A2817">
        <w:rPr>
          <w:rFonts w:asciiTheme="minorHAnsi" w:hAnsiTheme="minorHAnsi" w:cs="Calibri"/>
          <w:sz w:val="28"/>
          <w:szCs w:val="28"/>
        </w:rPr>
        <w:t>PRACTICE NOTE SC Gen 2</w:t>
      </w:r>
    </w:p>
    <w:p w:rsidR="002F6F30" w:rsidRPr="005A2817" w:rsidRDefault="002F6F30">
      <w:pPr>
        <w:jc w:val="center"/>
        <w:rPr>
          <w:rFonts w:asciiTheme="minorHAnsi" w:hAnsiTheme="minorHAnsi" w:cs="Calibri"/>
          <w:sz w:val="28"/>
          <w:szCs w:val="28"/>
        </w:rPr>
      </w:pPr>
    </w:p>
    <w:p w:rsidR="002F6F30" w:rsidRPr="005A2817" w:rsidRDefault="002F6F30">
      <w:pPr>
        <w:jc w:val="center"/>
        <w:rPr>
          <w:rFonts w:asciiTheme="minorHAnsi" w:hAnsiTheme="minorHAnsi" w:cs="Calibri"/>
          <w:sz w:val="28"/>
          <w:szCs w:val="28"/>
        </w:rPr>
      </w:pPr>
    </w:p>
    <w:p w:rsidR="002F6F30" w:rsidRPr="005A2817" w:rsidRDefault="002F6F30">
      <w:pPr>
        <w:pStyle w:val="Subtitle"/>
        <w:rPr>
          <w:rFonts w:asciiTheme="minorHAnsi" w:hAnsiTheme="minorHAnsi" w:cs="Calibri"/>
          <w:sz w:val="28"/>
          <w:szCs w:val="28"/>
        </w:rPr>
      </w:pPr>
      <w:bookmarkStart w:id="0" w:name="_Ref111629479"/>
      <w:bookmarkEnd w:id="0"/>
      <w:r w:rsidRPr="005A2817">
        <w:rPr>
          <w:rFonts w:asciiTheme="minorHAnsi" w:hAnsiTheme="minorHAnsi" w:cs="Calibri"/>
          <w:sz w:val="28"/>
          <w:szCs w:val="28"/>
        </w:rPr>
        <w:t>Supreme Court – Access to Court Files</w:t>
      </w:r>
    </w:p>
    <w:p w:rsidR="002F6F30" w:rsidRPr="005A2817" w:rsidRDefault="002F6F30">
      <w:pPr>
        <w:pStyle w:val="Subtitle"/>
        <w:rPr>
          <w:rFonts w:asciiTheme="minorHAnsi" w:hAnsiTheme="minorHAnsi" w:cs="Calibri"/>
          <w:sz w:val="28"/>
          <w:szCs w:val="28"/>
        </w:rPr>
      </w:pPr>
    </w:p>
    <w:p w:rsidR="002F6F30" w:rsidRPr="005A2817" w:rsidRDefault="002F6F30">
      <w:pPr>
        <w:pStyle w:val="Heading1"/>
        <w:rPr>
          <w:rFonts w:asciiTheme="minorHAnsi" w:hAnsiTheme="minorHAnsi" w:cs="Calibri"/>
        </w:rPr>
      </w:pPr>
      <w:r w:rsidRPr="005A2817">
        <w:rPr>
          <w:rFonts w:asciiTheme="minorHAnsi" w:hAnsiTheme="minorHAnsi" w:cs="Calibri"/>
        </w:rPr>
        <w:t>Commencement</w:t>
      </w: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T</w:t>
      </w:r>
      <w:r w:rsidR="005A2817">
        <w:rPr>
          <w:rFonts w:asciiTheme="minorHAnsi" w:hAnsiTheme="minorHAnsi" w:cs="Calibri"/>
        </w:rPr>
        <w:t xml:space="preserve">his Practice Note commences on </w:t>
      </w:r>
      <w:r w:rsidR="00506C36">
        <w:rPr>
          <w:rFonts w:asciiTheme="minorHAnsi" w:hAnsiTheme="minorHAnsi" w:cs="Calibri"/>
        </w:rPr>
        <w:t>4</w:t>
      </w:r>
      <w:r w:rsidR="00506C36" w:rsidRPr="005A2817">
        <w:rPr>
          <w:rFonts w:asciiTheme="minorHAnsi" w:hAnsiTheme="minorHAnsi" w:cs="Calibri"/>
        </w:rPr>
        <w:t xml:space="preserve"> </w:t>
      </w:r>
      <w:r w:rsidR="003A32B2">
        <w:rPr>
          <w:rFonts w:asciiTheme="minorHAnsi" w:hAnsiTheme="minorHAnsi" w:cs="Calibri"/>
        </w:rPr>
        <w:t>October</w:t>
      </w:r>
      <w:r w:rsidRPr="005A2817">
        <w:rPr>
          <w:rFonts w:asciiTheme="minorHAnsi" w:hAnsiTheme="minorHAnsi" w:cs="Calibri"/>
        </w:rPr>
        <w:t xml:space="preserve"> 20</w:t>
      </w:r>
      <w:r w:rsidR="005A2817">
        <w:rPr>
          <w:rFonts w:asciiTheme="minorHAnsi" w:hAnsiTheme="minorHAnsi" w:cs="Calibri"/>
        </w:rPr>
        <w:t>19</w:t>
      </w:r>
      <w:r w:rsidRPr="005A2817">
        <w:rPr>
          <w:rFonts w:asciiTheme="minorHAnsi" w:hAnsiTheme="minorHAnsi" w:cs="Calibri"/>
        </w:rPr>
        <w:t xml:space="preserve">. </w:t>
      </w:r>
    </w:p>
    <w:p w:rsidR="002F6F30" w:rsidRPr="005A2817" w:rsidRDefault="002F6F30" w:rsidP="005A2817">
      <w:pPr>
        <w:pStyle w:val="Heading1"/>
        <w:ind w:left="567" w:hanging="567"/>
        <w:jc w:val="both"/>
        <w:rPr>
          <w:rFonts w:asciiTheme="minorHAnsi" w:hAnsiTheme="minorHAnsi" w:cs="Calibri"/>
        </w:rPr>
      </w:pPr>
      <w:r w:rsidRPr="005A2817">
        <w:rPr>
          <w:rFonts w:asciiTheme="minorHAnsi" w:hAnsiTheme="minorHAnsi" w:cs="Calibri"/>
        </w:rPr>
        <w:t>Application</w:t>
      </w: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This Practice Note applies to the Court of Appeal, the Court of Criminal Appeal, and each of the Divisions of the Supreme Court.</w:t>
      </w:r>
    </w:p>
    <w:p w:rsidR="002F6F30" w:rsidRPr="005A2817" w:rsidRDefault="002F6F30" w:rsidP="005A2817">
      <w:pPr>
        <w:pStyle w:val="Heading1"/>
        <w:ind w:left="567" w:hanging="567"/>
        <w:jc w:val="both"/>
        <w:rPr>
          <w:rFonts w:asciiTheme="minorHAnsi" w:hAnsiTheme="minorHAnsi" w:cs="Calibri"/>
        </w:rPr>
      </w:pPr>
      <w:r w:rsidRPr="005A2817">
        <w:rPr>
          <w:rFonts w:asciiTheme="minorHAnsi" w:hAnsiTheme="minorHAnsi" w:cs="Calibri"/>
        </w:rPr>
        <w:t>Definitions</w:t>
      </w: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In this Practice Note:</w:t>
      </w:r>
    </w:p>
    <w:p w:rsidR="002F6F30" w:rsidRPr="005A2817" w:rsidRDefault="002F6F30" w:rsidP="005A2817">
      <w:pPr>
        <w:ind w:left="567" w:hanging="567"/>
        <w:jc w:val="both"/>
        <w:rPr>
          <w:rFonts w:asciiTheme="minorHAnsi" w:hAnsiTheme="minorHAnsi" w:cs="Calibri"/>
        </w:rPr>
      </w:pPr>
    </w:p>
    <w:p w:rsidR="002F6F30" w:rsidRPr="005A2817" w:rsidRDefault="002F6F30" w:rsidP="005A2817">
      <w:pPr>
        <w:tabs>
          <w:tab w:val="clear" w:pos="1701"/>
        </w:tabs>
        <w:ind w:left="567" w:hanging="567"/>
        <w:jc w:val="both"/>
        <w:rPr>
          <w:rFonts w:asciiTheme="minorHAnsi" w:hAnsiTheme="minorHAnsi" w:cs="Calibri"/>
        </w:rPr>
      </w:pPr>
      <w:r w:rsidRPr="005A2817">
        <w:rPr>
          <w:rFonts w:asciiTheme="minorHAnsi" w:hAnsiTheme="minorHAnsi" w:cs="Calibri"/>
          <w:b/>
          <w:bCs/>
        </w:rPr>
        <w:t>UCPR</w:t>
      </w:r>
      <w:r w:rsidRPr="005A2817">
        <w:rPr>
          <w:rFonts w:asciiTheme="minorHAnsi" w:hAnsiTheme="minorHAnsi" w:cs="Calibri"/>
        </w:rPr>
        <w:t xml:space="preserve"> means the </w:t>
      </w:r>
      <w:r w:rsidRPr="005A2817">
        <w:rPr>
          <w:rFonts w:asciiTheme="minorHAnsi" w:hAnsiTheme="minorHAnsi" w:cs="Calibri"/>
          <w:i/>
          <w:iCs/>
        </w:rPr>
        <w:t>Uniform Civil Procedure Rules 2005</w:t>
      </w:r>
    </w:p>
    <w:p w:rsidR="002F6F30" w:rsidRPr="005A2817" w:rsidRDefault="002F6F30" w:rsidP="005A2817">
      <w:pPr>
        <w:pStyle w:val="Heading1"/>
        <w:ind w:left="567" w:hanging="567"/>
        <w:jc w:val="both"/>
        <w:rPr>
          <w:rFonts w:asciiTheme="minorHAnsi" w:hAnsiTheme="minorHAnsi" w:cs="Calibri"/>
        </w:rPr>
      </w:pPr>
      <w:r w:rsidRPr="005A2817">
        <w:rPr>
          <w:rFonts w:asciiTheme="minorHAnsi" w:hAnsiTheme="minorHAnsi" w:cs="Calibri"/>
        </w:rPr>
        <w:t>Introduction</w:t>
      </w: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 xml:space="preserve">The purpose of this Practice Note is to prescribe the procedures surrounding the provision of access to court files.  </w:t>
      </w:r>
    </w:p>
    <w:p w:rsidR="002F6F30" w:rsidRPr="005A2817" w:rsidRDefault="002F6F30" w:rsidP="005A2817">
      <w:pPr>
        <w:pStyle w:val="Heading1"/>
        <w:ind w:left="567" w:hanging="567"/>
        <w:jc w:val="both"/>
        <w:rPr>
          <w:rFonts w:asciiTheme="minorHAnsi" w:hAnsiTheme="minorHAnsi" w:cs="Calibri"/>
        </w:rPr>
      </w:pPr>
      <w:r w:rsidRPr="005A2817">
        <w:rPr>
          <w:rFonts w:asciiTheme="minorHAnsi" w:hAnsiTheme="minorHAnsi" w:cs="Calibri"/>
        </w:rPr>
        <w:t>Search</w:t>
      </w: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A person may not search in a registry for or inspect any document or thing in any proceedings except with the leave of the Court.</w:t>
      </w:r>
    </w:p>
    <w:p w:rsidR="002F6F30" w:rsidRPr="005A2817" w:rsidRDefault="002F6F30" w:rsidP="005A2817">
      <w:pPr>
        <w:pStyle w:val="Heading1"/>
        <w:ind w:left="567" w:hanging="567"/>
        <w:jc w:val="both"/>
        <w:rPr>
          <w:rFonts w:asciiTheme="minorHAnsi" w:hAnsiTheme="minorHAnsi" w:cs="Calibri"/>
        </w:rPr>
      </w:pPr>
      <w:r w:rsidRPr="005A2817">
        <w:rPr>
          <w:rFonts w:asciiTheme="minorHAnsi" w:hAnsiTheme="minorHAnsi" w:cs="Calibri"/>
        </w:rPr>
        <w:t>Access</w:t>
      </w: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bookmarkStart w:id="1" w:name="_Ref111629584"/>
      <w:r w:rsidRPr="005A2817">
        <w:rPr>
          <w:rFonts w:asciiTheme="minorHAnsi" w:hAnsiTheme="minorHAnsi" w:cs="Calibri"/>
        </w:rPr>
        <w:t>Access to material in any proceedings is restricted to parties, except with the leave of the Court.</w:t>
      </w:r>
      <w:bookmarkEnd w:id="1"/>
    </w:p>
    <w:p w:rsidR="002F6F30" w:rsidRPr="005A2817" w:rsidRDefault="002F6F30" w:rsidP="005A2817">
      <w:pPr>
        <w:tabs>
          <w:tab w:val="clear" w:pos="1701"/>
        </w:tabs>
        <w:ind w:left="567"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bookmarkStart w:id="2" w:name="_Ref111629737"/>
      <w:r w:rsidRPr="005A2817">
        <w:rPr>
          <w:rFonts w:asciiTheme="minorHAnsi" w:hAnsiTheme="minorHAnsi" w:cs="Calibri"/>
        </w:rPr>
        <w:t>Access will normally be granted to non-parties in respect of:</w:t>
      </w:r>
      <w:bookmarkEnd w:id="2"/>
    </w:p>
    <w:p w:rsidR="002F6F30" w:rsidRDefault="002F6F30" w:rsidP="00506C36">
      <w:pPr>
        <w:numPr>
          <w:ilvl w:val="0"/>
          <w:numId w:val="9"/>
        </w:numPr>
        <w:tabs>
          <w:tab w:val="clear" w:pos="720"/>
          <w:tab w:val="clear" w:pos="1701"/>
        </w:tabs>
        <w:ind w:left="1134" w:hanging="567"/>
        <w:jc w:val="both"/>
        <w:rPr>
          <w:rFonts w:asciiTheme="minorHAnsi" w:hAnsiTheme="minorHAnsi" w:cs="Calibri"/>
        </w:rPr>
      </w:pPr>
      <w:r w:rsidRPr="005A2817">
        <w:rPr>
          <w:rFonts w:asciiTheme="minorHAnsi" w:hAnsiTheme="minorHAnsi" w:cs="Calibri"/>
        </w:rPr>
        <w:t>pleadings and judgments in proceedings that have been concluded, except in so far as an order has been made that they or portions of them be kept confidential;</w:t>
      </w:r>
    </w:p>
    <w:p w:rsidR="00B77B72" w:rsidRPr="005A2817" w:rsidRDefault="00B77B72" w:rsidP="00506C36">
      <w:pPr>
        <w:numPr>
          <w:ilvl w:val="0"/>
          <w:numId w:val="9"/>
        </w:numPr>
        <w:tabs>
          <w:tab w:val="clear" w:pos="720"/>
          <w:tab w:val="clear" w:pos="1701"/>
        </w:tabs>
        <w:ind w:left="1134" w:hanging="567"/>
        <w:jc w:val="both"/>
        <w:rPr>
          <w:rFonts w:asciiTheme="minorHAnsi" w:hAnsiTheme="minorHAnsi" w:cs="Calibri"/>
        </w:rPr>
      </w:pPr>
      <w:r>
        <w:rPr>
          <w:rFonts w:asciiTheme="minorHAnsi" w:hAnsiTheme="minorHAnsi" w:cs="Calibri"/>
        </w:rPr>
        <w:t>pleadings in proceedings that have not been concluded with leave of a judge or a registrar;</w:t>
      </w:r>
    </w:p>
    <w:p w:rsidR="002F6F30" w:rsidRPr="005A2817" w:rsidRDefault="002F6F30" w:rsidP="00506C36">
      <w:pPr>
        <w:numPr>
          <w:ilvl w:val="0"/>
          <w:numId w:val="9"/>
        </w:numPr>
        <w:tabs>
          <w:tab w:val="clear" w:pos="720"/>
          <w:tab w:val="clear" w:pos="1701"/>
        </w:tabs>
        <w:ind w:left="1134" w:hanging="567"/>
        <w:jc w:val="both"/>
        <w:rPr>
          <w:rFonts w:asciiTheme="minorHAnsi" w:hAnsiTheme="minorHAnsi" w:cs="Calibri"/>
        </w:rPr>
      </w:pPr>
      <w:r w:rsidRPr="005A2817">
        <w:rPr>
          <w:rFonts w:asciiTheme="minorHAnsi" w:hAnsiTheme="minorHAnsi" w:cs="Calibri"/>
        </w:rPr>
        <w:t>documents that record what was said or done in open court;</w:t>
      </w:r>
    </w:p>
    <w:p w:rsidR="002F6F30" w:rsidRPr="005A2817" w:rsidRDefault="002F6F30" w:rsidP="00506C36">
      <w:pPr>
        <w:numPr>
          <w:ilvl w:val="0"/>
          <w:numId w:val="9"/>
        </w:numPr>
        <w:tabs>
          <w:tab w:val="clear" w:pos="720"/>
          <w:tab w:val="clear" w:pos="1701"/>
        </w:tabs>
        <w:ind w:left="1134" w:hanging="567"/>
        <w:jc w:val="both"/>
        <w:rPr>
          <w:rFonts w:asciiTheme="minorHAnsi" w:hAnsiTheme="minorHAnsi" w:cs="Calibri"/>
        </w:rPr>
      </w:pPr>
      <w:r w:rsidRPr="005A2817">
        <w:rPr>
          <w:rFonts w:asciiTheme="minorHAnsi" w:hAnsiTheme="minorHAnsi" w:cs="Calibri"/>
        </w:rPr>
        <w:lastRenderedPageBreak/>
        <w:t>material that was admitted into evidence; and</w:t>
      </w:r>
    </w:p>
    <w:p w:rsidR="002F6F30" w:rsidRPr="005A2817" w:rsidRDefault="002F6F30" w:rsidP="00506C36">
      <w:pPr>
        <w:numPr>
          <w:ilvl w:val="0"/>
          <w:numId w:val="9"/>
        </w:numPr>
        <w:tabs>
          <w:tab w:val="clear" w:pos="720"/>
          <w:tab w:val="clear" w:pos="1701"/>
        </w:tabs>
        <w:ind w:left="1134" w:hanging="567"/>
        <w:jc w:val="both"/>
        <w:rPr>
          <w:rFonts w:asciiTheme="minorHAnsi" w:hAnsiTheme="minorHAnsi" w:cs="Calibri"/>
        </w:rPr>
      </w:pPr>
      <w:proofErr w:type="gramStart"/>
      <w:r w:rsidRPr="005A2817">
        <w:rPr>
          <w:rFonts w:asciiTheme="minorHAnsi" w:hAnsiTheme="minorHAnsi" w:cs="Calibri"/>
        </w:rPr>
        <w:t>information</w:t>
      </w:r>
      <w:proofErr w:type="gramEnd"/>
      <w:r w:rsidRPr="005A2817">
        <w:rPr>
          <w:rFonts w:asciiTheme="minorHAnsi" w:hAnsiTheme="minorHAnsi" w:cs="Calibri"/>
        </w:rPr>
        <w:t xml:space="preserve"> that would have been heard or seen by any person present in open court,</w:t>
      </w:r>
      <w:r w:rsidR="005A2817">
        <w:rPr>
          <w:rFonts w:asciiTheme="minorHAnsi" w:hAnsiTheme="minorHAnsi" w:cs="Calibri"/>
        </w:rPr>
        <w:t xml:space="preserve"> </w:t>
      </w:r>
      <w:r w:rsidRPr="005A2817">
        <w:rPr>
          <w:rFonts w:asciiTheme="minorHAnsi" w:hAnsiTheme="minorHAnsi" w:cs="Calibri"/>
        </w:rPr>
        <w:t xml:space="preserve">unless the Judge or registrar dealing with the application considers that </w:t>
      </w:r>
      <w:bookmarkStart w:id="3" w:name="_GoBack"/>
      <w:bookmarkEnd w:id="3"/>
      <w:r w:rsidRPr="005A2817">
        <w:rPr>
          <w:rFonts w:asciiTheme="minorHAnsi" w:hAnsiTheme="minorHAnsi" w:cs="Calibri"/>
        </w:rPr>
        <w:t>the material or portions of it should be kept confidential. Access to other material will not be allowed unless a registrar or Judge is satisfied that exceptional circumstances exist.</w:t>
      </w:r>
    </w:p>
    <w:p w:rsidR="002F6F30" w:rsidRPr="005A2817" w:rsidRDefault="002F6F30" w:rsidP="00506C36">
      <w:pPr>
        <w:ind w:left="1134"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 xml:space="preserve">Subject to paragraphs </w:t>
      </w:r>
      <w:r w:rsidRPr="005A2817">
        <w:rPr>
          <w:rFonts w:asciiTheme="minorHAnsi" w:hAnsiTheme="minorHAnsi" w:cs="Calibri"/>
        </w:rPr>
        <w:fldChar w:fldCharType="begin"/>
      </w:r>
      <w:r w:rsidRPr="005A2817">
        <w:rPr>
          <w:rFonts w:asciiTheme="minorHAnsi" w:hAnsiTheme="minorHAnsi" w:cs="Calibri"/>
        </w:rPr>
        <w:instrText xml:space="preserve"> REF _Ref111629467 \r \h  \* MERGEFORMAT </w:instrText>
      </w:r>
      <w:r w:rsidRPr="005A2817">
        <w:rPr>
          <w:rFonts w:asciiTheme="minorHAnsi" w:hAnsiTheme="minorHAnsi" w:cs="Calibri"/>
        </w:rPr>
      </w:r>
      <w:r w:rsidRPr="005A2817">
        <w:rPr>
          <w:rFonts w:asciiTheme="minorHAnsi" w:hAnsiTheme="minorHAnsi" w:cs="Calibri"/>
        </w:rPr>
        <w:fldChar w:fldCharType="separate"/>
      </w:r>
      <w:r w:rsidR="00506C36">
        <w:rPr>
          <w:rFonts w:asciiTheme="minorHAnsi" w:hAnsiTheme="minorHAnsi" w:cs="Calibri"/>
        </w:rPr>
        <w:t>10</w:t>
      </w:r>
      <w:r w:rsidRPr="005A2817">
        <w:rPr>
          <w:rFonts w:asciiTheme="minorHAnsi" w:hAnsiTheme="minorHAnsi" w:cs="Calibri"/>
        </w:rPr>
        <w:fldChar w:fldCharType="end"/>
      </w:r>
      <w:r w:rsidRPr="005A2817">
        <w:rPr>
          <w:rFonts w:asciiTheme="minorHAnsi" w:hAnsiTheme="minorHAnsi" w:cs="Calibri"/>
        </w:rPr>
        <w:t xml:space="preserve"> and </w:t>
      </w:r>
      <w:r w:rsidRPr="005A2817">
        <w:rPr>
          <w:rFonts w:asciiTheme="minorHAnsi" w:hAnsiTheme="minorHAnsi" w:cs="Calibri"/>
        </w:rPr>
        <w:fldChar w:fldCharType="begin"/>
      </w:r>
      <w:r w:rsidRPr="005A2817">
        <w:rPr>
          <w:rFonts w:asciiTheme="minorHAnsi" w:hAnsiTheme="minorHAnsi" w:cs="Calibri"/>
        </w:rPr>
        <w:instrText xml:space="preserve"> REF _Ref111629552 \r \h  \* MERGEFORMAT </w:instrText>
      </w:r>
      <w:r w:rsidRPr="005A2817">
        <w:rPr>
          <w:rFonts w:asciiTheme="minorHAnsi" w:hAnsiTheme="minorHAnsi" w:cs="Calibri"/>
        </w:rPr>
      </w:r>
      <w:r w:rsidRPr="005A2817">
        <w:rPr>
          <w:rFonts w:asciiTheme="minorHAnsi" w:hAnsiTheme="minorHAnsi" w:cs="Calibri"/>
        </w:rPr>
        <w:fldChar w:fldCharType="separate"/>
      </w:r>
      <w:r w:rsidR="00506C36">
        <w:rPr>
          <w:rFonts w:asciiTheme="minorHAnsi" w:hAnsiTheme="minorHAnsi" w:cs="Calibri"/>
        </w:rPr>
        <w:t>11</w:t>
      </w:r>
      <w:r w:rsidRPr="005A2817">
        <w:rPr>
          <w:rFonts w:asciiTheme="minorHAnsi" w:hAnsiTheme="minorHAnsi" w:cs="Calibri"/>
        </w:rPr>
        <w:fldChar w:fldCharType="end"/>
      </w:r>
      <w:r w:rsidRPr="005A2817">
        <w:rPr>
          <w:rFonts w:asciiTheme="minorHAnsi" w:hAnsiTheme="minorHAnsi" w:cs="Calibri"/>
        </w:rPr>
        <w:t xml:space="preserve">, paragraph </w:t>
      </w:r>
      <w:r w:rsidRPr="005A2817">
        <w:rPr>
          <w:rFonts w:asciiTheme="minorHAnsi" w:hAnsiTheme="minorHAnsi" w:cs="Calibri"/>
        </w:rPr>
        <w:fldChar w:fldCharType="begin"/>
      </w:r>
      <w:r w:rsidRPr="005A2817">
        <w:rPr>
          <w:rFonts w:asciiTheme="minorHAnsi" w:hAnsiTheme="minorHAnsi" w:cs="Calibri"/>
        </w:rPr>
        <w:instrText xml:space="preserve"> REF _Ref111629584 \r \h  \* MERGEFORMAT </w:instrText>
      </w:r>
      <w:r w:rsidRPr="005A2817">
        <w:rPr>
          <w:rFonts w:asciiTheme="minorHAnsi" w:hAnsiTheme="minorHAnsi" w:cs="Calibri"/>
        </w:rPr>
      </w:r>
      <w:r w:rsidRPr="005A2817">
        <w:rPr>
          <w:rFonts w:asciiTheme="minorHAnsi" w:hAnsiTheme="minorHAnsi" w:cs="Calibri"/>
        </w:rPr>
        <w:fldChar w:fldCharType="separate"/>
      </w:r>
      <w:r w:rsidR="00506C36">
        <w:rPr>
          <w:rFonts w:asciiTheme="minorHAnsi" w:hAnsiTheme="minorHAnsi" w:cs="Calibri"/>
        </w:rPr>
        <w:t>6</w:t>
      </w:r>
      <w:r w:rsidRPr="005A2817">
        <w:rPr>
          <w:rFonts w:asciiTheme="minorHAnsi" w:hAnsiTheme="minorHAnsi" w:cs="Calibri"/>
        </w:rPr>
        <w:fldChar w:fldCharType="end"/>
      </w:r>
      <w:r w:rsidRPr="005A2817">
        <w:rPr>
          <w:rFonts w:asciiTheme="minorHAnsi" w:hAnsiTheme="minorHAnsi" w:cs="Calibri"/>
        </w:rPr>
        <w:t xml:space="preserve"> does not apply to a party to the proceedings or to the Registrar General or the Registrar of Births, Deaths and Marriages. </w:t>
      </w:r>
    </w:p>
    <w:p w:rsidR="002F6F30" w:rsidRPr="005A2817" w:rsidRDefault="002F6F30" w:rsidP="005A2817">
      <w:pPr>
        <w:tabs>
          <w:tab w:val="clear" w:pos="1701"/>
        </w:tabs>
        <w:ind w:left="567"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 xml:space="preserve">A party must not search in the registry for or inspect any document in relation to an application under section 9 of the </w:t>
      </w:r>
      <w:r w:rsidRPr="005A2817">
        <w:rPr>
          <w:rFonts w:asciiTheme="minorHAnsi" w:hAnsiTheme="minorHAnsi" w:cs="Calibri"/>
          <w:i/>
          <w:iCs/>
        </w:rPr>
        <w:t>Evidence and Procedure (New Zealand) Act 1994</w:t>
      </w:r>
      <w:r w:rsidRPr="005A2817">
        <w:rPr>
          <w:rFonts w:asciiTheme="minorHAnsi" w:hAnsiTheme="minorHAnsi" w:cs="Calibri"/>
        </w:rPr>
        <w:t xml:space="preserve"> of the Commonwealth except with the leave of the Court.</w:t>
      </w:r>
    </w:p>
    <w:p w:rsidR="002F6F30" w:rsidRPr="005A2817" w:rsidRDefault="002F6F30" w:rsidP="005A2817">
      <w:pPr>
        <w:tabs>
          <w:tab w:val="clear" w:pos="1701"/>
        </w:tabs>
        <w:ind w:left="567"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bookmarkStart w:id="4" w:name="_Ref111629467"/>
      <w:r w:rsidRPr="005A2817">
        <w:rPr>
          <w:rFonts w:asciiTheme="minorHAnsi" w:hAnsiTheme="minorHAnsi" w:cs="Calibri"/>
        </w:rPr>
        <w:t>A party may not search for or inspect in the registry any document in any proceedings for orders under UCPR 1.9 (which relates to privilege from production) or UCPR 31.18 (which relates to experts’ reports) or under UCPR 31.4 (which relates to witness statements) except with the leave of the Court.</w:t>
      </w:r>
      <w:bookmarkEnd w:id="4"/>
    </w:p>
    <w:p w:rsidR="002F6F30" w:rsidRPr="005A2817" w:rsidRDefault="002F6F30" w:rsidP="005A2817">
      <w:pPr>
        <w:tabs>
          <w:tab w:val="clear" w:pos="1701"/>
        </w:tabs>
        <w:ind w:left="567"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bookmarkStart w:id="5" w:name="_Ref111629552"/>
      <w:r w:rsidRPr="005A2817">
        <w:rPr>
          <w:rFonts w:asciiTheme="minorHAnsi" w:hAnsiTheme="minorHAnsi" w:cs="Calibri"/>
        </w:rPr>
        <w:t xml:space="preserve">Subject to paragraph </w:t>
      </w:r>
      <w:r w:rsidRPr="005A2817">
        <w:rPr>
          <w:rFonts w:asciiTheme="minorHAnsi" w:hAnsiTheme="minorHAnsi" w:cs="Calibri"/>
        </w:rPr>
        <w:fldChar w:fldCharType="begin"/>
      </w:r>
      <w:r w:rsidRPr="005A2817">
        <w:rPr>
          <w:rFonts w:asciiTheme="minorHAnsi" w:hAnsiTheme="minorHAnsi" w:cs="Calibri"/>
        </w:rPr>
        <w:instrText xml:space="preserve"> REF _Ref111629698 \r \h  \* MERGEFORMAT </w:instrText>
      </w:r>
      <w:r w:rsidRPr="005A2817">
        <w:rPr>
          <w:rFonts w:asciiTheme="minorHAnsi" w:hAnsiTheme="minorHAnsi" w:cs="Calibri"/>
        </w:rPr>
      </w:r>
      <w:r w:rsidRPr="005A2817">
        <w:rPr>
          <w:rFonts w:asciiTheme="minorHAnsi" w:hAnsiTheme="minorHAnsi" w:cs="Calibri"/>
        </w:rPr>
        <w:fldChar w:fldCharType="separate"/>
      </w:r>
      <w:r w:rsidR="00506C36">
        <w:rPr>
          <w:rFonts w:asciiTheme="minorHAnsi" w:hAnsiTheme="minorHAnsi" w:cs="Calibri"/>
        </w:rPr>
        <w:t>12</w:t>
      </w:r>
      <w:r w:rsidRPr="005A2817">
        <w:rPr>
          <w:rFonts w:asciiTheme="minorHAnsi" w:hAnsiTheme="minorHAnsi" w:cs="Calibri"/>
        </w:rPr>
        <w:fldChar w:fldCharType="end"/>
      </w:r>
      <w:r w:rsidRPr="005A2817">
        <w:rPr>
          <w:rFonts w:asciiTheme="minorHAnsi" w:hAnsiTheme="minorHAnsi" w:cs="Calibri"/>
        </w:rPr>
        <w:t>, a person may not, except with the leave of the Court, inspect any order filed in the Court made by:</w:t>
      </w:r>
      <w:bookmarkEnd w:id="5"/>
      <w:r w:rsidRPr="005A2817">
        <w:rPr>
          <w:rFonts w:asciiTheme="minorHAnsi" w:hAnsiTheme="minorHAnsi" w:cs="Calibri"/>
        </w:rPr>
        <w:t xml:space="preserve"> </w:t>
      </w:r>
    </w:p>
    <w:p w:rsidR="002F6F30" w:rsidRPr="005A2817" w:rsidRDefault="002F6F30" w:rsidP="005A2817">
      <w:pPr>
        <w:numPr>
          <w:ilvl w:val="0"/>
          <w:numId w:val="20"/>
        </w:numPr>
        <w:tabs>
          <w:tab w:val="clear" w:pos="1701"/>
        </w:tabs>
        <w:ind w:left="927"/>
        <w:jc w:val="both"/>
        <w:rPr>
          <w:rFonts w:asciiTheme="minorHAnsi" w:hAnsiTheme="minorHAnsi" w:cs="Calibri"/>
        </w:rPr>
      </w:pPr>
      <w:r w:rsidRPr="005A2817">
        <w:rPr>
          <w:rFonts w:asciiTheme="minorHAnsi" w:hAnsiTheme="minorHAnsi" w:cs="Calibri"/>
        </w:rPr>
        <w:t>the Professional Standards Board under section 149, or</w:t>
      </w:r>
    </w:p>
    <w:p w:rsidR="002F6F30" w:rsidRPr="005A2817" w:rsidRDefault="002F6F30" w:rsidP="005A2817">
      <w:pPr>
        <w:numPr>
          <w:ilvl w:val="0"/>
          <w:numId w:val="20"/>
        </w:numPr>
        <w:tabs>
          <w:tab w:val="clear" w:pos="1701"/>
        </w:tabs>
        <w:ind w:left="927"/>
        <w:jc w:val="both"/>
        <w:rPr>
          <w:rFonts w:asciiTheme="minorHAnsi" w:hAnsiTheme="minorHAnsi" w:cs="Calibri"/>
        </w:rPr>
      </w:pPr>
      <w:r w:rsidRPr="005A2817">
        <w:rPr>
          <w:rFonts w:asciiTheme="minorHAnsi" w:hAnsiTheme="minorHAnsi" w:cs="Calibri"/>
        </w:rPr>
        <w:t xml:space="preserve">the Disciplinary Tribunal under section 154 (1), of the </w:t>
      </w:r>
      <w:r w:rsidRPr="005A2817">
        <w:rPr>
          <w:rFonts w:asciiTheme="minorHAnsi" w:hAnsiTheme="minorHAnsi" w:cs="Calibri"/>
          <w:i/>
          <w:iCs/>
        </w:rPr>
        <w:t xml:space="preserve">Legal Profession Act 1987 </w:t>
      </w:r>
      <w:r w:rsidRPr="005A2817">
        <w:rPr>
          <w:rFonts w:asciiTheme="minorHAnsi" w:hAnsiTheme="minorHAnsi" w:cs="Calibri"/>
        </w:rPr>
        <w:t>as in force from time to time prior to 1 July 1994, or</w:t>
      </w:r>
    </w:p>
    <w:p w:rsidR="002F6F30" w:rsidRPr="005A2817" w:rsidRDefault="002F6F30" w:rsidP="005A2817">
      <w:pPr>
        <w:numPr>
          <w:ilvl w:val="0"/>
          <w:numId w:val="20"/>
        </w:numPr>
        <w:tabs>
          <w:tab w:val="clear" w:pos="1701"/>
        </w:tabs>
        <w:ind w:left="927"/>
        <w:jc w:val="both"/>
        <w:rPr>
          <w:rFonts w:asciiTheme="minorHAnsi" w:hAnsiTheme="minorHAnsi" w:cs="Calibri"/>
        </w:rPr>
      </w:pPr>
      <w:proofErr w:type="gramStart"/>
      <w:r w:rsidRPr="005A2817">
        <w:rPr>
          <w:rFonts w:asciiTheme="minorHAnsi" w:hAnsiTheme="minorHAnsi" w:cs="Calibri"/>
        </w:rPr>
        <w:t>the</w:t>
      </w:r>
      <w:proofErr w:type="gramEnd"/>
      <w:r w:rsidRPr="005A2817">
        <w:rPr>
          <w:rFonts w:asciiTheme="minorHAnsi" w:hAnsiTheme="minorHAnsi" w:cs="Calibri"/>
        </w:rPr>
        <w:t xml:space="preserve"> Legal Services Tribunal under section 171C of the </w:t>
      </w:r>
      <w:r w:rsidRPr="005A2817">
        <w:rPr>
          <w:rFonts w:asciiTheme="minorHAnsi" w:hAnsiTheme="minorHAnsi" w:cs="Calibri"/>
          <w:i/>
          <w:iCs/>
        </w:rPr>
        <w:t>Legal Profession Act 1987</w:t>
      </w:r>
      <w:r w:rsidRPr="005A2817">
        <w:rPr>
          <w:rFonts w:asciiTheme="minorHAnsi" w:hAnsiTheme="minorHAnsi" w:cs="Calibri"/>
        </w:rPr>
        <w:t>.</w:t>
      </w:r>
    </w:p>
    <w:p w:rsidR="002F6F30" w:rsidRPr="005A2817" w:rsidRDefault="002F6F30" w:rsidP="005A2817">
      <w:pPr>
        <w:tabs>
          <w:tab w:val="clear" w:pos="1701"/>
        </w:tabs>
        <w:ind w:left="567"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bookmarkStart w:id="6" w:name="_Ref111629698"/>
      <w:r w:rsidRPr="005A2817">
        <w:rPr>
          <w:rFonts w:asciiTheme="minorHAnsi" w:hAnsiTheme="minorHAnsi" w:cs="Calibri"/>
        </w:rPr>
        <w:t>Any person may inspect any order filed in the Court:</w:t>
      </w:r>
      <w:bookmarkEnd w:id="6"/>
      <w:r w:rsidRPr="005A2817">
        <w:rPr>
          <w:rFonts w:asciiTheme="minorHAnsi" w:hAnsiTheme="minorHAnsi" w:cs="Calibri"/>
        </w:rPr>
        <w:t xml:space="preserve"> </w:t>
      </w:r>
    </w:p>
    <w:p w:rsidR="002F6F30" w:rsidRPr="005A2817" w:rsidRDefault="002F6F30" w:rsidP="005A2817">
      <w:pPr>
        <w:numPr>
          <w:ilvl w:val="0"/>
          <w:numId w:val="20"/>
        </w:numPr>
        <w:tabs>
          <w:tab w:val="clear" w:pos="1701"/>
        </w:tabs>
        <w:ind w:left="927"/>
        <w:jc w:val="both"/>
        <w:rPr>
          <w:rFonts w:asciiTheme="minorHAnsi" w:hAnsiTheme="minorHAnsi" w:cs="Calibri"/>
        </w:rPr>
      </w:pPr>
      <w:r w:rsidRPr="005A2817">
        <w:rPr>
          <w:rFonts w:asciiTheme="minorHAnsi" w:hAnsiTheme="minorHAnsi" w:cs="Calibri"/>
        </w:rPr>
        <w:t>made by the Disciplinary Tribunal under section 163 of the Legal Profession Act 1987 as in force from time to time prior to 1 July 1994, or</w:t>
      </w:r>
    </w:p>
    <w:p w:rsidR="002F6F30" w:rsidRPr="005A2817" w:rsidRDefault="002F6F30" w:rsidP="005A2817">
      <w:pPr>
        <w:numPr>
          <w:ilvl w:val="0"/>
          <w:numId w:val="20"/>
        </w:numPr>
        <w:tabs>
          <w:tab w:val="clear" w:pos="1701"/>
        </w:tabs>
        <w:ind w:left="927"/>
        <w:jc w:val="both"/>
        <w:rPr>
          <w:rFonts w:asciiTheme="minorHAnsi" w:hAnsiTheme="minorHAnsi" w:cs="Calibri"/>
        </w:rPr>
      </w:pPr>
      <w:r w:rsidRPr="005A2817">
        <w:rPr>
          <w:rFonts w:asciiTheme="minorHAnsi" w:hAnsiTheme="minorHAnsi" w:cs="Calibri"/>
        </w:rPr>
        <w:t xml:space="preserve">made by the Legal Services Tribunal under section 171C of the Legal Profession Act 1987, if the order involves a finding of professional misconduct within the meaning of: </w:t>
      </w:r>
    </w:p>
    <w:p w:rsidR="002F6F30" w:rsidRPr="005A2817" w:rsidRDefault="005A2817" w:rsidP="005A2817">
      <w:pPr>
        <w:tabs>
          <w:tab w:val="clear" w:pos="1701"/>
        </w:tabs>
        <w:ind w:left="927"/>
        <w:jc w:val="both"/>
        <w:rPr>
          <w:rFonts w:asciiTheme="minorHAnsi" w:hAnsiTheme="minorHAnsi" w:cs="Calibri"/>
        </w:rPr>
      </w:pPr>
      <w:r>
        <w:rPr>
          <w:rFonts w:asciiTheme="minorHAnsi" w:hAnsiTheme="minorHAnsi" w:cs="Calibri"/>
        </w:rPr>
        <w:t xml:space="preserve">- </w:t>
      </w:r>
      <w:proofErr w:type="gramStart"/>
      <w:r w:rsidR="002F6F30" w:rsidRPr="005A2817">
        <w:rPr>
          <w:rFonts w:asciiTheme="minorHAnsi" w:hAnsiTheme="minorHAnsi" w:cs="Calibri"/>
        </w:rPr>
        <w:t>that</w:t>
      </w:r>
      <w:proofErr w:type="gramEnd"/>
      <w:r w:rsidR="002F6F30" w:rsidRPr="005A2817">
        <w:rPr>
          <w:rFonts w:asciiTheme="minorHAnsi" w:hAnsiTheme="minorHAnsi" w:cs="Calibri"/>
        </w:rPr>
        <w:t xml:space="preserve"> Act, or</w:t>
      </w:r>
    </w:p>
    <w:p w:rsidR="002F6F30" w:rsidRPr="005A2817" w:rsidRDefault="005A2817" w:rsidP="005A2817">
      <w:pPr>
        <w:tabs>
          <w:tab w:val="clear" w:pos="1701"/>
        </w:tabs>
        <w:ind w:left="927"/>
        <w:jc w:val="both"/>
        <w:rPr>
          <w:rFonts w:asciiTheme="minorHAnsi" w:hAnsiTheme="minorHAnsi" w:cs="Calibri"/>
        </w:rPr>
      </w:pPr>
      <w:r>
        <w:rPr>
          <w:rFonts w:asciiTheme="minorHAnsi" w:hAnsiTheme="minorHAnsi" w:cs="Calibri"/>
        </w:rPr>
        <w:t xml:space="preserve">- </w:t>
      </w:r>
      <w:proofErr w:type="gramStart"/>
      <w:r w:rsidR="002F6F30" w:rsidRPr="005A2817">
        <w:rPr>
          <w:rFonts w:asciiTheme="minorHAnsi" w:hAnsiTheme="minorHAnsi" w:cs="Calibri"/>
        </w:rPr>
        <w:t>the</w:t>
      </w:r>
      <w:proofErr w:type="gramEnd"/>
      <w:r w:rsidR="002F6F30" w:rsidRPr="005A2817">
        <w:rPr>
          <w:rFonts w:asciiTheme="minorHAnsi" w:hAnsiTheme="minorHAnsi" w:cs="Calibri"/>
        </w:rPr>
        <w:t xml:space="preserve"> </w:t>
      </w:r>
      <w:r w:rsidR="002F6F30" w:rsidRPr="005A2817">
        <w:rPr>
          <w:rFonts w:asciiTheme="minorHAnsi" w:hAnsiTheme="minorHAnsi" w:cs="Calibri"/>
          <w:i/>
          <w:iCs/>
        </w:rPr>
        <w:t>Conveyancers Licensing Act 1995</w:t>
      </w:r>
      <w:r w:rsidR="002F6F30" w:rsidRPr="005A2817">
        <w:rPr>
          <w:rFonts w:asciiTheme="minorHAnsi" w:hAnsiTheme="minorHAnsi" w:cs="Calibri"/>
        </w:rPr>
        <w:t>.</w:t>
      </w:r>
    </w:p>
    <w:p w:rsidR="002F6F30" w:rsidRPr="005A2817" w:rsidRDefault="002F6F30" w:rsidP="005A2817">
      <w:pPr>
        <w:tabs>
          <w:tab w:val="clear" w:pos="1701"/>
        </w:tabs>
        <w:ind w:left="567"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A person to whom any document or thing is produced by the Court for inspection may make copies of or take extracts from the document or thing.</w:t>
      </w:r>
    </w:p>
    <w:p w:rsidR="002F6F30" w:rsidRPr="005A2817" w:rsidRDefault="002F6F30" w:rsidP="005A2817">
      <w:pPr>
        <w:tabs>
          <w:tab w:val="clear" w:pos="1701"/>
        </w:tabs>
        <w:ind w:left="567"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 xml:space="preserve">It should not be assumed that material held by the Court comes within paragraph </w:t>
      </w:r>
      <w:r w:rsidRPr="005A2817">
        <w:rPr>
          <w:rFonts w:asciiTheme="minorHAnsi" w:hAnsiTheme="minorHAnsi" w:cs="Calibri"/>
        </w:rPr>
        <w:fldChar w:fldCharType="begin"/>
      </w:r>
      <w:r w:rsidRPr="005A2817">
        <w:rPr>
          <w:rFonts w:asciiTheme="minorHAnsi" w:hAnsiTheme="minorHAnsi" w:cs="Calibri"/>
        </w:rPr>
        <w:instrText xml:space="preserve"> REF _Ref111629737 \r \h  \* MERGEFORMAT </w:instrText>
      </w:r>
      <w:r w:rsidRPr="005A2817">
        <w:rPr>
          <w:rFonts w:asciiTheme="minorHAnsi" w:hAnsiTheme="minorHAnsi" w:cs="Calibri"/>
        </w:rPr>
      </w:r>
      <w:r w:rsidRPr="005A2817">
        <w:rPr>
          <w:rFonts w:asciiTheme="minorHAnsi" w:hAnsiTheme="minorHAnsi" w:cs="Calibri"/>
        </w:rPr>
        <w:fldChar w:fldCharType="separate"/>
      </w:r>
      <w:r w:rsidR="00506C36">
        <w:rPr>
          <w:rFonts w:asciiTheme="minorHAnsi" w:hAnsiTheme="minorHAnsi" w:cs="Calibri"/>
        </w:rPr>
        <w:t>7</w:t>
      </w:r>
      <w:r w:rsidRPr="005A2817">
        <w:rPr>
          <w:rFonts w:asciiTheme="minorHAnsi" w:hAnsiTheme="minorHAnsi" w:cs="Calibri"/>
        </w:rPr>
        <w:fldChar w:fldCharType="end"/>
      </w:r>
      <w:r w:rsidRPr="005A2817">
        <w:rPr>
          <w:rFonts w:asciiTheme="minorHAnsi" w:hAnsiTheme="minorHAnsi" w:cs="Calibri"/>
        </w:rPr>
        <w:t>. Affidavits and witness statements that are filed in proceedings are often never read in open court. This can occur because they contain matter that is objected to and rejected on any one of a number of grounds or because the proceedings have settled before coming on for hearing. Affidavits, statements, exhibits and pleadings may contain matter that is scandalous, frivolous, vexatious, irrelevant or otherwise oppressive. UCPR 4.15 allows the Court to order this type of matter to be struck out of a document.</w:t>
      </w:r>
    </w:p>
    <w:p w:rsidR="002F6F30" w:rsidRPr="005A2817" w:rsidRDefault="002F6F30" w:rsidP="005A2817">
      <w:pPr>
        <w:tabs>
          <w:tab w:val="clear" w:pos="1701"/>
        </w:tabs>
        <w:ind w:left="567"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lastRenderedPageBreak/>
        <w:t>If access to material were to be given prior to the conclusion of the proceedings to which it relates, material that is ultimately not read in open court or admitted into evidence would be seen. Thus, access will not normally be allowed prior to the conclusion of the proceedings.</w:t>
      </w:r>
    </w:p>
    <w:p w:rsidR="002F6F30" w:rsidRPr="005A2817" w:rsidRDefault="002F6F30" w:rsidP="005A2817">
      <w:pPr>
        <w:tabs>
          <w:tab w:val="clear" w:pos="1701"/>
        </w:tabs>
        <w:ind w:left="567"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 xml:space="preserve">Even where material has been read in open court or is included in pleadings, there may be good reason for refusing access. Material that has been rejected or not used or struck out as being scandalous, frivolous, vexatious, irrelevant or otherwise oppressive, may still be legible. Where access to material would be otherwise unobjectionable, it may concern matters that are required to be kept confidential by statute (eg the </w:t>
      </w:r>
      <w:r w:rsidRPr="005A2817">
        <w:rPr>
          <w:rFonts w:asciiTheme="minorHAnsi" w:hAnsiTheme="minorHAnsi" w:cs="Calibri"/>
          <w:i/>
          <w:iCs/>
        </w:rPr>
        <w:t>Criminal Records Act 1991</w:t>
      </w:r>
      <w:r w:rsidRPr="005A2817">
        <w:rPr>
          <w:rFonts w:asciiTheme="minorHAnsi" w:hAnsiTheme="minorHAnsi" w:cs="Calibri"/>
        </w:rPr>
        <w:t>) or by public interest immunity considerations (eg applications to authorise listening devices, affidavits in support of suppression orders).</w:t>
      </w:r>
    </w:p>
    <w:p w:rsidR="002F6F30" w:rsidRPr="005A2817" w:rsidRDefault="002F6F30" w:rsidP="005A2817">
      <w:pPr>
        <w:tabs>
          <w:tab w:val="clear" w:pos="1701"/>
        </w:tabs>
        <w:ind w:left="567"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Application by a person, who is not a party to proceedings, for access to material held by the Court in the proceedings shall be made in the attached form to the registrar of the appropriate Division, who will refer doubtful cases to the Chief Justice or to a Judge nominated by the Chief Justice. The registrar or Judge may notify interested parties before dealing with the application. The applicant must demonstrate that access should be granted in respect of the particular documents the subject of the application and state why the applicant desires access.  Enquiries may be made to the Court’s registry on (02) 9230 8111.</w:t>
      </w:r>
    </w:p>
    <w:p w:rsidR="002F6F30" w:rsidRPr="005A2817" w:rsidRDefault="002F6F30" w:rsidP="005A2817">
      <w:pPr>
        <w:tabs>
          <w:tab w:val="clear" w:pos="1701"/>
        </w:tabs>
        <w:ind w:left="567" w:hanging="567"/>
        <w:jc w:val="both"/>
        <w:rPr>
          <w:rFonts w:asciiTheme="minorHAnsi" w:hAnsiTheme="minorHAnsi" w:cs="Calibri"/>
        </w:rPr>
      </w:pPr>
    </w:p>
    <w:p w:rsidR="002F6F30" w:rsidRPr="005A2817" w:rsidRDefault="002F6F30" w:rsidP="005A2817">
      <w:pPr>
        <w:numPr>
          <w:ilvl w:val="0"/>
          <w:numId w:val="12"/>
        </w:numPr>
        <w:tabs>
          <w:tab w:val="clear" w:pos="360"/>
          <w:tab w:val="clear" w:pos="1701"/>
        </w:tabs>
        <w:ind w:left="567" w:hanging="567"/>
        <w:jc w:val="both"/>
        <w:rPr>
          <w:rFonts w:asciiTheme="minorHAnsi" w:hAnsiTheme="minorHAnsi" w:cs="Calibri"/>
        </w:rPr>
      </w:pPr>
      <w:r w:rsidRPr="005A2817">
        <w:rPr>
          <w:rFonts w:asciiTheme="minorHAnsi" w:hAnsiTheme="minorHAnsi" w:cs="Calibri"/>
        </w:rPr>
        <w:t>The person to whom access to material is granted normally may copy or take extracts from the material and the registry may assist with copying.</w:t>
      </w:r>
    </w:p>
    <w:p w:rsidR="002F6F30" w:rsidRPr="005A2817" w:rsidRDefault="002F6F30">
      <w:pPr>
        <w:rPr>
          <w:rFonts w:asciiTheme="minorHAnsi" w:hAnsiTheme="minorHAnsi" w:cs="Calibri"/>
        </w:rPr>
      </w:pPr>
    </w:p>
    <w:p w:rsidR="002F6F30" w:rsidRDefault="002F6F30">
      <w:pPr>
        <w:rPr>
          <w:rFonts w:asciiTheme="minorHAnsi" w:hAnsiTheme="minorHAnsi" w:cs="Calibri"/>
        </w:rPr>
      </w:pPr>
    </w:p>
    <w:p w:rsidR="00506C36" w:rsidRDefault="00506C36">
      <w:pPr>
        <w:rPr>
          <w:rFonts w:asciiTheme="minorHAnsi" w:hAnsiTheme="minorHAnsi" w:cs="Calibri"/>
        </w:rPr>
      </w:pPr>
    </w:p>
    <w:p w:rsidR="00506C36" w:rsidRDefault="00506C36">
      <w:pPr>
        <w:rPr>
          <w:rFonts w:asciiTheme="minorHAnsi" w:hAnsiTheme="minorHAnsi" w:cs="Calibri"/>
        </w:rPr>
      </w:pPr>
    </w:p>
    <w:p w:rsidR="005A2817" w:rsidRPr="005A2817" w:rsidRDefault="005A2817">
      <w:pPr>
        <w:rPr>
          <w:rFonts w:asciiTheme="minorHAnsi" w:hAnsiTheme="minorHAnsi" w:cs="Calibri"/>
        </w:rPr>
      </w:pPr>
    </w:p>
    <w:p w:rsidR="002F6F30" w:rsidRPr="005A2817" w:rsidRDefault="005A2817">
      <w:pPr>
        <w:ind w:left="360"/>
        <w:rPr>
          <w:rFonts w:asciiTheme="minorHAnsi" w:hAnsiTheme="minorHAnsi" w:cs="Calibri"/>
          <w:b/>
          <w:u w:val="single"/>
        </w:rPr>
      </w:pPr>
      <w:r w:rsidRPr="005A2817">
        <w:rPr>
          <w:rFonts w:asciiTheme="minorHAnsi" w:hAnsiTheme="minorHAnsi" w:cs="Calibri"/>
          <w:b/>
          <w:u w:val="single"/>
        </w:rPr>
        <w:t>T F BATHURST AC</w:t>
      </w:r>
    </w:p>
    <w:p w:rsidR="002F6F30" w:rsidRPr="005A2817" w:rsidRDefault="002F6F30">
      <w:pPr>
        <w:ind w:left="360"/>
        <w:rPr>
          <w:rFonts w:asciiTheme="minorHAnsi" w:hAnsiTheme="minorHAnsi" w:cs="Calibri"/>
        </w:rPr>
      </w:pPr>
      <w:r w:rsidRPr="005A2817">
        <w:rPr>
          <w:rFonts w:asciiTheme="minorHAnsi" w:hAnsiTheme="minorHAnsi" w:cs="Calibri"/>
        </w:rPr>
        <w:t>Chief Justice of New South Wales</w:t>
      </w:r>
    </w:p>
    <w:p w:rsidR="002F6F30" w:rsidRPr="005A2817" w:rsidRDefault="00506C36">
      <w:pPr>
        <w:ind w:left="360"/>
        <w:rPr>
          <w:rFonts w:asciiTheme="minorHAnsi" w:hAnsiTheme="minorHAnsi" w:cs="Calibri"/>
        </w:rPr>
      </w:pPr>
      <w:r>
        <w:rPr>
          <w:rFonts w:asciiTheme="minorHAnsi" w:hAnsiTheme="minorHAnsi" w:cs="Calibri"/>
        </w:rPr>
        <w:t>4</w:t>
      </w:r>
      <w:r w:rsidR="002F6F30" w:rsidRPr="005A2817">
        <w:rPr>
          <w:rFonts w:asciiTheme="minorHAnsi" w:hAnsiTheme="minorHAnsi" w:cs="Calibri"/>
        </w:rPr>
        <w:t xml:space="preserve"> </w:t>
      </w:r>
      <w:r w:rsidR="003A32B2">
        <w:rPr>
          <w:rFonts w:asciiTheme="minorHAnsi" w:hAnsiTheme="minorHAnsi" w:cs="Calibri"/>
        </w:rPr>
        <w:t>October</w:t>
      </w:r>
      <w:r w:rsidR="003A32B2" w:rsidRPr="005A2817">
        <w:rPr>
          <w:rFonts w:asciiTheme="minorHAnsi" w:hAnsiTheme="minorHAnsi" w:cs="Calibri"/>
        </w:rPr>
        <w:t xml:space="preserve"> </w:t>
      </w:r>
      <w:r w:rsidR="002F6F30" w:rsidRPr="005A2817">
        <w:rPr>
          <w:rFonts w:asciiTheme="minorHAnsi" w:hAnsiTheme="minorHAnsi" w:cs="Calibri"/>
        </w:rPr>
        <w:t>20</w:t>
      </w:r>
      <w:r w:rsidR="005A2817">
        <w:rPr>
          <w:rFonts w:asciiTheme="minorHAnsi" w:hAnsiTheme="minorHAnsi" w:cs="Calibri"/>
        </w:rPr>
        <w:t>19</w:t>
      </w:r>
    </w:p>
    <w:p w:rsidR="002F6F30" w:rsidRPr="005A2817" w:rsidRDefault="002F6F30">
      <w:pPr>
        <w:rPr>
          <w:rFonts w:asciiTheme="minorHAnsi" w:hAnsiTheme="minorHAnsi" w:cs="Calibri"/>
        </w:rPr>
      </w:pPr>
    </w:p>
    <w:p w:rsidR="002F6F30" w:rsidRPr="005A2817" w:rsidRDefault="002F6F30">
      <w:pPr>
        <w:pStyle w:val="Heading1"/>
        <w:rPr>
          <w:rFonts w:asciiTheme="minorHAnsi" w:hAnsiTheme="minorHAnsi" w:cs="Calibri"/>
        </w:rPr>
      </w:pPr>
      <w:r w:rsidRPr="005A2817">
        <w:rPr>
          <w:rFonts w:asciiTheme="minorHAnsi" w:hAnsiTheme="minorHAnsi" w:cs="Calibri"/>
        </w:rPr>
        <w:t>APPLICATION BY A NON-PARTY FOR ACCESS TO MATERIAL HELD BY THE COURT</w:t>
      </w:r>
    </w:p>
    <w:p w:rsidR="002F6F30" w:rsidRPr="005A2817" w:rsidRDefault="002F6F30">
      <w:pPr>
        <w:rPr>
          <w:rFonts w:asciiTheme="minorHAnsi" w:hAnsiTheme="minorHAnsi" w:cs="Calibri"/>
        </w:rPr>
      </w:pPr>
    </w:p>
    <w:p w:rsidR="002F6F30" w:rsidRPr="005A2817" w:rsidRDefault="002F6F30">
      <w:pPr>
        <w:ind w:left="360"/>
        <w:rPr>
          <w:rFonts w:asciiTheme="minorHAnsi" w:hAnsiTheme="minorHAnsi" w:cs="Calibri"/>
        </w:rPr>
      </w:pPr>
      <w:r w:rsidRPr="005A2817">
        <w:rPr>
          <w:rFonts w:asciiTheme="minorHAnsi" w:hAnsiTheme="minorHAnsi" w:cs="Calibri"/>
        </w:rPr>
        <w:t xml:space="preserve">I (applicant’s full name) </w:t>
      </w:r>
    </w:p>
    <w:p w:rsidR="002F6F30" w:rsidRPr="005A2817" w:rsidRDefault="002F6F30">
      <w:pPr>
        <w:ind w:left="360"/>
        <w:rPr>
          <w:rFonts w:asciiTheme="minorHAnsi" w:hAnsiTheme="minorHAnsi" w:cs="Calibri"/>
        </w:rPr>
      </w:pPr>
      <w:r w:rsidRPr="005A2817">
        <w:rPr>
          <w:rFonts w:asciiTheme="minorHAnsi" w:hAnsiTheme="minorHAnsi" w:cs="Calibri"/>
        </w:rPr>
        <w:t>(</w:t>
      </w:r>
      <w:proofErr w:type="gramStart"/>
      <w:r w:rsidRPr="005A2817">
        <w:rPr>
          <w:rFonts w:asciiTheme="minorHAnsi" w:hAnsiTheme="minorHAnsi" w:cs="Calibri"/>
        </w:rPr>
        <w:t>occupation</w:t>
      </w:r>
      <w:proofErr w:type="gramEnd"/>
      <w:r w:rsidRPr="005A2817">
        <w:rPr>
          <w:rFonts w:asciiTheme="minorHAnsi" w:hAnsiTheme="minorHAnsi" w:cs="Calibri"/>
        </w:rPr>
        <w:t>)……………………………………of (business address) …………………………………….</w:t>
      </w:r>
    </w:p>
    <w:p w:rsidR="002F6F30" w:rsidRPr="005A2817" w:rsidRDefault="002F6F30">
      <w:pPr>
        <w:rPr>
          <w:rFonts w:asciiTheme="minorHAnsi" w:hAnsiTheme="minorHAnsi" w:cs="Calibri"/>
        </w:rPr>
      </w:pPr>
    </w:p>
    <w:p w:rsidR="002F6F30" w:rsidRPr="005A2817" w:rsidRDefault="002F6F30">
      <w:pPr>
        <w:ind w:left="360"/>
        <w:rPr>
          <w:rFonts w:asciiTheme="minorHAnsi" w:hAnsiTheme="minorHAnsi" w:cs="Calibri"/>
        </w:rPr>
      </w:pPr>
      <w:r w:rsidRPr="005A2817">
        <w:rPr>
          <w:rFonts w:asciiTheme="minorHAnsi" w:hAnsiTheme="minorHAnsi" w:cs="Calibri"/>
        </w:rPr>
        <w:t>(</w:t>
      </w:r>
      <w:proofErr w:type="gramStart"/>
      <w:r w:rsidRPr="005A2817">
        <w:rPr>
          <w:rFonts w:asciiTheme="minorHAnsi" w:hAnsiTheme="minorHAnsi" w:cs="Calibri"/>
        </w:rPr>
        <w:t>residential</w:t>
      </w:r>
      <w:proofErr w:type="gramEnd"/>
      <w:r w:rsidRPr="005A2817">
        <w:rPr>
          <w:rFonts w:asciiTheme="minorHAnsi" w:hAnsiTheme="minorHAnsi" w:cs="Calibri"/>
        </w:rPr>
        <w:t xml:space="preserve"> address)  …………………………………………………………………………………………</w:t>
      </w:r>
    </w:p>
    <w:p w:rsidR="002F6F30" w:rsidRPr="005A2817" w:rsidRDefault="002F6F30">
      <w:pPr>
        <w:rPr>
          <w:rFonts w:asciiTheme="minorHAnsi" w:hAnsiTheme="minorHAnsi" w:cs="Calibri"/>
        </w:rPr>
      </w:pPr>
    </w:p>
    <w:p w:rsidR="002F6F30" w:rsidRPr="005A2817" w:rsidRDefault="002F6F30">
      <w:pPr>
        <w:ind w:left="360"/>
        <w:rPr>
          <w:rFonts w:asciiTheme="minorHAnsi" w:hAnsiTheme="minorHAnsi" w:cs="Calibri"/>
        </w:rPr>
      </w:pPr>
      <w:proofErr w:type="gramStart"/>
      <w:r w:rsidRPr="005A2817">
        <w:rPr>
          <w:rFonts w:asciiTheme="minorHAnsi" w:hAnsiTheme="minorHAnsi" w:cs="Calibri"/>
        </w:rPr>
        <w:t>apply</w:t>
      </w:r>
      <w:proofErr w:type="gramEnd"/>
      <w:r w:rsidRPr="005A2817">
        <w:rPr>
          <w:rFonts w:asciiTheme="minorHAnsi" w:hAnsiTheme="minorHAnsi" w:cs="Calibri"/>
        </w:rPr>
        <w:t xml:space="preserve"> for leave to inspect the documents described below in the following proceedings</w:t>
      </w:r>
    </w:p>
    <w:p w:rsidR="00506C36" w:rsidRDefault="00506C36">
      <w:pPr>
        <w:ind w:left="360"/>
        <w:rPr>
          <w:rFonts w:asciiTheme="minorHAnsi" w:hAnsiTheme="minorHAnsi" w:cs="Calibri"/>
        </w:rPr>
      </w:pPr>
    </w:p>
    <w:p w:rsidR="002F6F30" w:rsidRPr="005A2817" w:rsidRDefault="002F6F30">
      <w:pPr>
        <w:ind w:left="360"/>
        <w:rPr>
          <w:rFonts w:asciiTheme="minorHAnsi" w:hAnsiTheme="minorHAnsi" w:cs="Calibri"/>
        </w:rPr>
      </w:pPr>
      <w:r w:rsidRPr="005A2817">
        <w:rPr>
          <w:rFonts w:asciiTheme="minorHAnsi" w:hAnsiTheme="minorHAnsi" w:cs="Calibri"/>
        </w:rPr>
        <w:t xml:space="preserve">Division or Court of Appeal or Court of Criminal Appeal </w:t>
      </w:r>
    </w:p>
    <w:p w:rsidR="00506C36" w:rsidRDefault="00506C36">
      <w:pPr>
        <w:ind w:left="360"/>
        <w:rPr>
          <w:rFonts w:asciiTheme="minorHAnsi" w:hAnsiTheme="minorHAnsi" w:cs="Calibri"/>
        </w:rPr>
      </w:pPr>
    </w:p>
    <w:p w:rsidR="002F6F30" w:rsidRPr="005A2817" w:rsidRDefault="002F6F30">
      <w:pPr>
        <w:ind w:left="360"/>
        <w:rPr>
          <w:rFonts w:asciiTheme="minorHAnsi" w:hAnsiTheme="minorHAnsi" w:cs="Calibri"/>
        </w:rPr>
      </w:pPr>
      <w:r w:rsidRPr="005A2817">
        <w:rPr>
          <w:rFonts w:asciiTheme="minorHAnsi" w:hAnsiTheme="minorHAnsi" w:cs="Calibri"/>
        </w:rPr>
        <w:t>File No</w:t>
      </w:r>
    </w:p>
    <w:p w:rsidR="00506C36" w:rsidRDefault="00506C36">
      <w:pPr>
        <w:ind w:left="360"/>
        <w:rPr>
          <w:rFonts w:asciiTheme="minorHAnsi" w:hAnsiTheme="minorHAnsi" w:cs="Calibri"/>
        </w:rPr>
      </w:pPr>
    </w:p>
    <w:p w:rsidR="002F6F30" w:rsidRPr="005A2817" w:rsidRDefault="002F6F30">
      <w:pPr>
        <w:ind w:left="360"/>
        <w:rPr>
          <w:rFonts w:asciiTheme="minorHAnsi" w:hAnsiTheme="minorHAnsi" w:cs="Calibri"/>
        </w:rPr>
      </w:pPr>
      <w:r w:rsidRPr="005A2817">
        <w:rPr>
          <w:rFonts w:asciiTheme="minorHAnsi" w:hAnsiTheme="minorHAnsi" w:cs="Calibri"/>
        </w:rPr>
        <w:t>Names of parties</w:t>
      </w:r>
    </w:p>
    <w:p w:rsidR="00506C36" w:rsidRDefault="00506C36">
      <w:pPr>
        <w:ind w:left="360"/>
        <w:rPr>
          <w:rFonts w:asciiTheme="minorHAnsi" w:hAnsiTheme="minorHAnsi" w:cs="Calibri"/>
        </w:rPr>
      </w:pPr>
    </w:p>
    <w:p w:rsidR="002F6F30" w:rsidRPr="005A2817" w:rsidRDefault="002F6F30">
      <w:pPr>
        <w:ind w:left="360"/>
        <w:rPr>
          <w:rFonts w:asciiTheme="minorHAnsi" w:hAnsiTheme="minorHAnsi" w:cs="Calibri"/>
        </w:rPr>
      </w:pPr>
      <w:r w:rsidRPr="005A2817">
        <w:rPr>
          <w:rFonts w:asciiTheme="minorHAnsi" w:hAnsiTheme="minorHAnsi" w:cs="Calibri"/>
        </w:rPr>
        <w:t>Identify documents</w:t>
      </w:r>
    </w:p>
    <w:p w:rsidR="00506C36" w:rsidRDefault="00506C36">
      <w:pPr>
        <w:ind w:left="360"/>
        <w:rPr>
          <w:rFonts w:asciiTheme="minorHAnsi" w:hAnsiTheme="minorHAnsi" w:cs="Calibri"/>
        </w:rPr>
      </w:pPr>
    </w:p>
    <w:p w:rsidR="002F6F30" w:rsidRPr="005A2817" w:rsidRDefault="002F6F30">
      <w:pPr>
        <w:ind w:left="360"/>
        <w:rPr>
          <w:rFonts w:asciiTheme="minorHAnsi" w:hAnsiTheme="minorHAnsi" w:cs="Calibri"/>
        </w:rPr>
      </w:pPr>
      <w:r w:rsidRPr="005A2817">
        <w:rPr>
          <w:rFonts w:asciiTheme="minorHAnsi" w:hAnsiTheme="minorHAnsi" w:cs="Calibri"/>
        </w:rPr>
        <w:t>My reason for requesting leave is</w:t>
      </w:r>
    </w:p>
    <w:p w:rsidR="002F6F30" w:rsidRPr="005A2817" w:rsidRDefault="002F6F30">
      <w:pPr>
        <w:rPr>
          <w:rFonts w:asciiTheme="minorHAnsi" w:hAnsiTheme="minorHAnsi" w:cs="Calibri"/>
        </w:rPr>
      </w:pPr>
    </w:p>
    <w:p w:rsidR="002F6F30" w:rsidRPr="005A2817" w:rsidRDefault="002F6F30">
      <w:pPr>
        <w:ind w:left="360"/>
        <w:rPr>
          <w:rFonts w:asciiTheme="minorHAnsi" w:hAnsiTheme="minorHAnsi" w:cs="Calibri"/>
        </w:rPr>
      </w:pPr>
      <w:r w:rsidRPr="005A2817">
        <w:rPr>
          <w:rFonts w:asciiTheme="minorHAnsi" w:hAnsiTheme="minorHAnsi" w:cs="Calibri"/>
        </w:rPr>
        <w:t xml:space="preserve">I submit that access to the documents should be granted because (state grounds) </w:t>
      </w:r>
    </w:p>
    <w:p w:rsidR="002F6F30" w:rsidRPr="005A2817" w:rsidRDefault="002F6F30">
      <w:pPr>
        <w:rPr>
          <w:rFonts w:asciiTheme="minorHAnsi" w:hAnsiTheme="minorHAnsi" w:cs="Calibri"/>
        </w:rPr>
      </w:pPr>
    </w:p>
    <w:p w:rsidR="002F6F30" w:rsidRPr="005A2817" w:rsidRDefault="002F6F30">
      <w:pPr>
        <w:rPr>
          <w:rFonts w:asciiTheme="minorHAnsi" w:hAnsiTheme="minorHAnsi" w:cs="Calibri"/>
        </w:rPr>
      </w:pPr>
    </w:p>
    <w:p w:rsidR="002F6F30" w:rsidRPr="005A2817" w:rsidRDefault="002F6F30">
      <w:pPr>
        <w:ind w:left="360"/>
        <w:rPr>
          <w:rFonts w:asciiTheme="minorHAnsi" w:hAnsiTheme="minorHAnsi" w:cs="Calibri"/>
        </w:rPr>
      </w:pPr>
      <w:r w:rsidRPr="005A2817">
        <w:rPr>
          <w:rFonts w:asciiTheme="minorHAnsi" w:hAnsiTheme="minorHAnsi" w:cs="Calibri"/>
        </w:rPr>
        <w:t>Signature of applicant</w:t>
      </w:r>
    </w:p>
    <w:p w:rsidR="002F6F30" w:rsidRPr="005A2817" w:rsidRDefault="002F6F30">
      <w:pPr>
        <w:ind w:left="360"/>
        <w:rPr>
          <w:rFonts w:asciiTheme="minorHAnsi" w:hAnsiTheme="minorHAnsi" w:cs="Calibri"/>
        </w:rPr>
      </w:pPr>
      <w:r w:rsidRPr="005A2817">
        <w:rPr>
          <w:rFonts w:asciiTheme="minorHAnsi" w:hAnsiTheme="minorHAnsi" w:cs="Calibri"/>
        </w:rPr>
        <w:t>Date of application</w:t>
      </w:r>
    </w:p>
    <w:p w:rsidR="002F6F30" w:rsidRPr="005A2817" w:rsidRDefault="002F6F30">
      <w:pPr>
        <w:rPr>
          <w:rFonts w:asciiTheme="minorHAnsi" w:hAnsiTheme="minorHAnsi" w:cs="Calibri"/>
        </w:rPr>
      </w:pPr>
    </w:p>
    <w:p w:rsidR="002F6F30" w:rsidRPr="005A2817" w:rsidRDefault="002F6F30">
      <w:pPr>
        <w:ind w:left="360"/>
        <w:rPr>
          <w:rFonts w:asciiTheme="minorHAnsi" w:hAnsiTheme="minorHAnsi" w:cs="Calibri"/>
        </w:rPr>
      </w:pPr>
      <w:r w:rsidRPr="005A2817">
        <w:rPr>
          <w:rFonts w:asciiTheme="minorHAnsi" w:hAnsiTheme="minorHAnsi" w:cs="Calibri"/>
        </w:rPr>
        <w:t>NOTE: Application must be made at least 1 day prior to inspection and in some cases a longer period will be required</w:t>
      </w:r>
    </w:p>
    <w:p w:rsidR="002F6F30" w:rsidRPr="005A2817" w:rsidRDefault="002F6F30">
      <w:pPr>
        <w:rPr>
          <w:rFonts w:asciiTheme="minorHAnsi" w:hAnsiTheme="minorHAnsi" w:cs="Calibri"/>
        </w:rPr>
      </w:pPr>
    </w:p>
    <w:p w:rsidR="002F6F30" w:rsidRPr="005A2817" w:rsidRDefault="002F6F30">
      <w:pPr>
        <w:rPr>
          <w:rFonts w:asciiTheme="minorHAnsi" w:hAnsiTheme="minorHAnsi" w:cs="Calibri"/>
        </w:rPr>
      </w:pPr>
    </w:p>
    <w:p w:rsidR="002F6F30" w:rsidRPr="005A2817" w:rsidRDefault="002F6F30">
      <w:pPr>
        <w:rPr>
          <w:rFonts w:asciiTheme="minorHAnsi" w:hAnsiTheme="minorHAnsi" w:cs="Calibri"/>
        </w:rPr>
      </w:pPr>
    </w:p>
    <w:p w:rsidR="002F6F30" w:rsidRPr="005A2817" w:rsidRDefault="002F6F30">
      <w:pPr>
        <w:rPr>
          <w:rFonts w:asciiTheme="minorHAnsi" w:hAnsiTheme="minorHAnsi" w:cs="Calibri"/>
        </w:rPr>
      </w:pPr>
    </w:p>
    <w:p w:rsidR="00506C36" w:rsidRPr="00506C36" w:rsidRDefault="00506C36" w:rsidP="00506C36">
      <w:pPr>
        <w:pStyle w:val="Heading1"/>
        <w:spacing w:after="120"/>
        <w:ind w:left="360"/>
        <w:rPr>
          <w:rFonts w:asciiTheme="minorHAnsi" w:hAnsiTheme="minorHAnsi" w:cs="Calibri"/>
        </w:rPr>
      </w:pPr>
      <w:r w:rsidRPr="00506C36">
        <w:rPr>
          <w:rFonts w:asciiTheme="minorHAnsi" w:hAnsiTheme="minorHAnsi" w:cs="Calibri"/>
          <w:u w:val="single"/>
        </w:rPr>
        <w:t>Related Information</w:t>
      </w:r>
      <w:r>
        <w:rPr>
          <w:rFonts w:asciiTheme="minorHAnsi" w:hAnsiTheme="minorHAnsi" w:cs="Calibri"/>
        </w:rPr>
        <w:t>:</w:t>
      </w:r>
    </w:p>
    <w:p w:rsidR="00506C36" w:rsidRPr="005A2817" w:rsidRDefault="00506C36" w:rsidP="00506C36">
      <w:pPr>
        <w:ind w:left="360"/>
        <w:rPr>
          <w:rFonts w:asciiTheme="minorHAnsi" w:hAnsiTheme="minorHAnsi" w:cs="Calibri"/>
        </w:rPr>
      </w:pPr>
      <w:r w:rsidRPr="005A2817">
        <w:rPr>
          <w:rFonts w:asciiTheme="minorHAnsi" w:hAnsiTheme="minorHAnsi" w:cs="Calibri"/>
        </w:rPr>
        <w:t>Practice Note SC Gen 1 Supreme Court – Application of Practice Notes</w:t>
      </w:r>
    </w:p>
    <w:p w:rsidR="00506C36" w:rsidRPr="005A2817" w:rsidRDefault="00506C36" w:rsidP="00506C36">
      <w:pPr>
        <w:ind w:left="360"/>
        <w:rPr>
          <w:rFonts w:asciiTheme="minorHAnsi" w:hAnsiTheme="minorHAnsi" w:cs="Calibri"/>
        </w:rPr>
      </w:pPr>
      <w:r w:rsidRPr="005A2817">
        <w:rPr>
          <w:rFonts w:asciiTheme="minorHAnsi" w:hAnsiTheme="minorHAnsi" w:cs="Calibri"/>
        </w:rPr>
        <w:t>Practice Note SC Gen 4 Supreme Court - Affidavits</w:t>
      </w:r>
    </w:p>
    <w:p w:rsidR="00506C36" w:rsidRDefault="00506C36" w:rsidP="00506C36">
      <w:pPr>
        <w:pStyle w:val="Heading2"/>
        <w:rPr>
          <w:rFonts w:asciiTheme="minorHAnsi" w:hAnsiTheme="minorHAnsi" w:cs="Calibri"/>
        </w:rPr>
      </w:pPr>
      <w:r w:rsidRPr="005A2817">
        <w:rPr>
          <w:rFonts w:asciiTheme="minorHAnsi" w:hAnsiTheme="minorHAnsi" w:cs="Calibri"/>
        </w:rPr>
        <w:t>Uniform Civil Procedure Rules 2005</w:t>
      </w:r>
    </w:p>
    <w:p w:rsidR="00506C36" w:rsidRPr="00506C36" w:rsidRDefault="00506C36" w:rsidP="00506C36">
      <w:pPr>
        <w:rPr>
          <w:i/>
        </w:rPr>
      </w:pPr>
    </w:p>
    <w:p w:rsidR="00506C36" w:rsidRPr="00506C36" w:rsidRDefault="00506C36" w:rsidP="00506C36">
      <w:pPr>
        <w:spacing w:before="240" w:after="120"/>
        <w:ind w:left="360"/>
        <w:rPr>
          <w:rFonts w:asciiTheme="minorHAnsi" w:hAnsiTheme="minorHAnsi" w:cs="Calibri"/>
          <w:b/>
        </w:rPr>
      </w:pPr>
      <w:r>
        <w:rPr>
          <w:rFonts w:asciiTheme="minorHAnsi" w:hAnsiTheme="minorHAnsi" w:cs="Calibri"/>
          <w:b/>
          <w:u w:val="single"/>
        </w:rPr>
        <w:t>Amendment History</w:t>
      </w:r>
      <w:r>
        <w:rPr>
          <w:rFonts w:asciiTheme="minorHAnsi" w:hAnsiTheme="minorHAnsi" w:cs="Calibri"/>
          <w:b/>
        </w:rPr>
        <w:t>:</w:t>
      </w:r>
    </w:p>
    <w:p w:rsidR="002F6F30" w:rsidRPr="005A2817" w:rsidRDefault="002F6F30">
      <w:pPr>
        <w:ind w:left="360"/>
        <w:rPr>
          <w:rFonts w:asciiTheme="minorHAnsi" w:hAnsiTheme="minorHAnsi" w:cs="Calibri"/>
        </w:rPr>
      </w:pPr>
      <w:r w:rsidRPr="005A2817">
        <w:rPr>
          <w:rFonts w:asciiTheme="minorHAnsi" w:hAnsiTheme="minorHAnsi" w:cs="Calibri"/>
        </w:rPr>
        <w:t xml:space="preserve">Practice Note SC Gen 2 issued </w:t>
      </w:r>
      <w:r w:rsidR="005A2817">
        <w:rPr>
          <w:rFonts w:asciiTheme="minorHAnsi" w:hAnsiTheme="minorHAnsi" w:cs="Calibri"/>
        </w:rPr>
        <w:t xml:space="preserve">on </w:t>
      </w:r>
      <w:r w:rsidR="00506C36">
        <w:rPr>
          <w:rFonts w:asciiTheme="minorHAnsi" w:hAnsiTheme="minorHAnsi" w:cs="Calibri"/>
        </w:rPr>
        <w:t>4</w:t>
      </w:r>
      <w:r w:rsidR="005A2817">
        <w:rPr>
          <w:rFonts w:asciiTheme="minorHAnsi" w:hAnsiTheme="minorHAnsi" w:cs="Calibri"/>
        </w:rPr>
        <w:t xml:space="preserve"> </w:t>
      </w:r>
      <w:r w:rsidR="003A32B2">
        <w:rPr>
          <w:rFonts w:asciiTheme="minorHAnsi" w:hAnsiTheme="minorHAnsi" w:cs="Calibri"/>
        </w:rPr>
        <w:t>October</w:t>
      </w:r>
      <w:r w:rsidR="005A2817">
        <w:rPr>
          <w:rFonts w:asciiTheme="minorHAnsi" w:hAnsiTheme="minorHAnsi" w:cs="Calibri"/>
        </w:rPr>
        <w:t xml:space="preserve"> 2019 replaced Practice Note SC Gen 2 issued </w:t>
      </w:r>
      <w:r w:rsidRPr="005A2817">
        <w:rPr>
          <w:rFonts w:asciiTheme="minorHAnsi" w:hAnsiTheme="minorHAnsi" w:cs="Calibri"/>
        </w:rPr>
        <w:t>on 1 March 2006.</w:t>
      </w:r>
    </w:p>
    <w:p w:rsidR="002F6F30" w:rsidRPr="005A2817" w:rsidRDefault="002F6F30">
      <w:pPr>
        <w:ind w:left="360"/>
        <w:rPr>
          <w:rFonts w:asciiTheme="minorHAnsi" w:hAnsiTheme="minorHAnsi" w:cs="Calibri"/>
        </w:rPr>
      </w:pPr>
      <w:r w:rsidRPr="005A2817">
        <w:rPr>
          <w:rFonts w:asciiTheme="minorHAnsi" w:hAnsiTheme="minorHAnsi" w:cs="Calibri"/>
        </w:rPr>
        <w:t>Practice Note SC Gen 2 issued on 1 March 2006 replaced Practice Note SC Gen 2 issued on 17 August 2005.</w:t>
      </w:r>
    </w:p>
    <w:p w:rsidR="002F6F30" w:rsidRPr="005A2817" w:rsidRDefault="005A2817">
      <w:pPr>
        <w:ind w:left="360"/>
        <w:rPr>
          <w:rFonts w:asciiTheme="minorHAnsi" w:hAnsiTheme="minorHAnsi" w:cs="Calibri"/>
        </w:rPr>
      </w:pPr>
      <w:r>
        <w:rPr>
          <w:rFonts w:asciiTheme="minorHAnsi" w:hAnsiTheme="minorHAnsi" w:cs="Calibri"/>
        </w:rPr>
        <w:t xml:space="preserve">Practice Note SC Gen 2 </w:t>
      </w:r>
      <w:r w:rsidR="002F6F30" w:rsidRPr="005A2817">
        <w:rPr>
          <w:rFonts w:asciiTheme="minorHAnsi" w:hAnsiTheme="minorHAnsi" w:cs="Calibri"/>
        </w:rPr>
        <w:t>replaced Former Practice Note No. 97 on 17 August 2005.</w:t>
      </w:r>
    </w:p>
    <w:p w:rsidR="00506C36" w:rsidRPr="005A2817" w:rsidRDefault="00506C36">
      <w:pPr>
        <w:pStyle w:val="Heading2"/>
        <w:rPr>
          <w:rFonts w:asciiTheme="minorHAnsi" w:hAnsiTheme="minorHAnsi" w:cs="Calibri"/>
        </w:rPr>
      </w:pPr>
    </w:p>
    <w:sectPr w:rsidR="00506C36" w:rsidRPr="005A2817" w:rsidSect="005A2817">
      <w:headerReference w:type="even" r:id="rId9"/>
      <w:headerReference w:type="default" r:id="rId10"/>
      <w:footerReference w:type="even" r:id="rId11"/>
      <w:footerReference w:type="default" r:id="rId12"/>
      <w:headerReference w:type="first" r:id="rId13"/>
      <w:footerReference w:type="first" r:id="rId14"/>
      <w:type w:val="continuous"/>
      <w:pgSz w:w="11909" w:h="16834" w:code="9"/>
      <w:pgMar w:top="851" w:right="1418" w:bottom="851" w:left="1418" w:header="567" w:footer="567"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6C36" w:rsidRDefault="00506C36" w:rsidP="005A2817">
      <w:r>
        <w:separator/>
      </w:r>
    </w:p>
  </w:endnote>
  <w:endnote w:type="continuationSeparator" w:id="0">
    <w:p w:rsidR="00506C36" w:rsidRDefault="00506C36" w:rsidP="005A28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6C36" w:rsidRDefault="00506C3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6C36" w:rsidRDefault="00506C3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6C36" w:rsidRDefault="00506C3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6C36" w:rsidRDefault="00506C36" w:rsidP="005A2817">
      <w:r>
        <w:separator/>
      </w:r>
    </w:p>
  </w:footnote>
  <w:footnote w:type="continuationSeparator" w:id="0">
    <w:p w:rsidR="00506C36" w:rsidRDefault="00506C36" w:rsidP="005A28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6C36" w:rsidRDefault="00506C3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6C36" w:rsidRPr="005A2817" w:rsidRDefault="00506C36" w:rsidP="006672F4">
    <w:pPr>
      <w:pStyle w:val="Header"/>
      <w:tabs>
        <w:tab w:val="clear" w:pos="4513"/>
        <w:tab w:val="clear" w:pos="9026"/>
        <w:tab w:val="right" w:pos="9063"/>
      </w:tabs>
      <w:rPr>
        <w:rFonts w:asciiTheme="minorHAnsi" w:hAnsiTheme="minorHAnsi" w:cs="Calibri"/>
        <w:sz w:val="20"/>
      </w:rPr>
    </w:pPr>
    <w:r w:rsidRPr="005A2817">
      <w:rPr>
        <w:rFonts w:asciiTheme="minorHAnsi" w:hAnsiTheme="minorHAnsi" w:cs="Calibri"/>
        <w:sz w:val="20"/>
      </w:rPr>
      <w:t xml:space="preserve">Practice Note SC Gen 2 </w:t>
    </w:r>
    <w:r w:rsidRPr="005A2817">
      <w:rPr>
        <w:rFonts w:asciiTheme="minorHAnsi" w:hAnsiTheme="minorHAnsi" w:cs="Calibri"/>
        <w:sz w:val="20"/>
      </w:rPr>
      <w:tab/>
      <w:t xml:space="preserve">Page </w:t>
    </w:r>
    <w:r w:rsidRPr="005A2817">
      <w:rPr>
        <w:rFonts w:asciiTheme="minorHAnsi" w:hAnsiTheme="minorHAnsi" w:cs="Calibri"/>
        <w:sz w:val="20"/>
      </w:rPr>
      <w:fldChar w:fldCharType="begin"/>
    </w:r>
    <w:r w:rsidRPr="005A2817">
      <w:rPr>
        <w:rFonts w:asciiTheme="minorHAnsi" w:hAnsiTheme="minorHAnsi" w:cs="Calibri"/>
        <w:sz w:val="20"/>
      </w:rPr>
      <w:instrText xml:space="preserve"> PAGE </w:instrText>
    </w:r>
    <w:r w:rsidRPr="005A2817">
      <w:rPr>
        <w:rFonts w:asciiTheme="minorHAnsi" w:hAnsiTheme="minorHAnsi" w:cs="Calibri"/>
        <w:sz w:val="20"/>
      </w:rPr>
      <w:fldChar w:fldCharType="separate"/>
    </w:r>
    <w:r w:rsidR="00963BAC">
      <w:rPr>
        <w:rFonts w:asciiTheme="minorHAnsi" w:hAnsiTheme="minorHAnsi" w:cs="Calibri"/>
        <w:noProof/>
        <w:sz w:val="20"/>
      </w:rPr>
      <w:t>4</w:t>
    </w:r>
    <w:r w:rsidRPr="005A2817">
      <w:rPr>
        <w:rFonts w:asciiTheme="minorHAnsi" w:hAnsiTheme="minorHAnsi" w:cs="Calibri"/>
        <w:sz w:val="20"/>
      </w:rPr>
      <w:fldChar w:fldCharType="end"/>
    </w:r>
    <w:r w:rsidRPr="005A2817">
      <w:rPr>
        <w:rFonts w:asciiTheme="minorHAnsi" w:hAnsiTheme="minorHAnsi" w:cs="Calibri"/>
        <w:sz w:val="20"/>
      </w:rPr>
      <w:t xml:space="preserve"> of </w:t>
    </w:r>
    <w:r w:rsidRPr="005A2817">
      <w:rPr>
        <w:rFonts w:asciiTheme="minorHAnsi" w:hAnsiTheme="minorHAnsi" w:cs="Calibri"/>
        <w:sz w:val="20"/>
      </w:rPr>
      <w:fldChar w:fldCharType="begin"/>
    </w:r>
    <w:r w:rsidRPr="005A2817">
      <w:rPr>
        <w:rFonts w:asciiTheme="minorHAnsi" w:hAnsiTheme="minorHAnsi" w:cs="Calibri"/>
        <w:sz w:val="20"/>
      </w:rPr>
      <w:instrText xml:space="preserve"> NUMPAGES </w:instrText>
    </w:r>
    <w:r w:rsidRPr="005A2817">
      <w:rPr>
        <w:rFonts w:asciiTheme="minorHAnsi" w:hAnsiTheme="minorHAnsi" w:cs="Calibri"/>
        <w:sz w:val="20"/>
      </w:rPr>
      <w:fldChar w:fldCharType="separate"/>
    </w:r>
    <w:r w:rsidR="00963BAC">
      <w:rPr>
        <w:rFonts w:asciiTheme="minorHAnsi" w:hAnsiTheme="minorHAnsi" w:cs="Calibri"/>
        <w:noProof/>
        <w:sz w:val="20"/>
      </w:rPr>
      <w:t>4</w:t>
    </w:r>
    <w:r w:rsidRPr="005A2817">
      <w:rPr>
        <w:rFonts w:asciiTheme="minorHAnsi" w:hAnsiTheme="minorHAnsi" w:cs="Calibri"/>
        <w:sz w:val="20"/>
      </w:rPr>
      <w:fldChar w:fldCharType="end"/>
    </w:r>
  </w:p>
  <w:p w:rsidR="00506C36" w:rsidRPr="005A2817" w:rsidRDefault="00506C36">
    <w:pPr>
      <w:pStyle w:val="Header"/>
      <w:pBdr>
        <w:bottom w:val="single" w:sz="4" w:space="1" w:color="auto"/>
      </w:pBdr>
      <w:tabs>
        <w:tab w:val="right" w:pos="9063"/>
      </w:tabs>
      <w:rPr>
        <w:rFonts w:asciiTheme="minorHAnsi" w:hAnsiTheme="minorHAnsi" w:cs="Calibri"/>
        <w:sz w:val="20"/>
      </w:rPr>
    </w:pPr>
    <w:r>
      <w:rPr>
        <w:rFonts w:asciiTheme="minorHAnsi" w:hAnsiTheme="minorHAnsi" w:cs="Calibri"/>
        <w:sz w:val="20"/>
      </w:rPr>
      <w:t>Access to Court Files</w:t>
    </w:r>
  </w:p>
  <w:p w:rsidR="00506C36" w:rsidRPr="005A2817" w:rsidRDefault="00506C36">
    <w:pPr>
      <w:pStyle w:val="Header"/>
      <w:tabs>
        <w:tab w:val="right" w:pos="9063"/>
      </w:tabs>
      <w:rPr>
        <w:rFonts w:asciiTheme="minorHAnsi" w:hAnsiTheme="minorHAnsi" w:cs="Calibri"/>
        <w:sz w:val="20"/>
      </w:rPr>
    </w:pPr>
  </w:p>
  <w:p w:rsidR="00506C36" w:rsidRPr="005A2817" w:rsidRDefault="00506C36">
    <w:pPr>
      <w:pStyle w:val="Header"/>
      <w:tabs>
        <w:tab w:val="right" w:pos="9063"/>
      </w:tabs>
      <w:rPr>
        <w:rFonts w:asciiTheme="minorHAnsi" w:hAnsiTheme="minorHAnsi" w:cs="Calibri"/>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6C36" w:rsidRDefault="00506C36" w:rsidP="005A2817">
    <w:pPr>
      <w:pStyle w:val="Header"/>
      <w:jc w:val="center"/>
    </w:pPr>
    <w:r>
      <w:object w:dxaOrig="12403" w:dyaOrig="12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05pt;height:105.05pt" o:ole="">
          <v:imagedata r:id="rId1" o:title=""/>
        </v:shape>
        <o:OLEObject Type="Embed" ProgID="MSPhotoEd.3" ShapeID="_x0000_i1025" DrawAspect="Content" ObjectID="_1631685640" r:id="rId2"/>
      </w:obje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A57C04"/>
    <w:multiLevelType w:val="hybridMultilevel"/>
    <w:tmpl w:val="22BE5AA0"/>
    <w:lvl w:ilvl="0" w:tplc="77160C7C">
      <w:start w:val="1"/>
      <w:numFmt w:val="bullet"/>
      <w:lvlText w:val=""/>
      <w:lvlJc w:val="left"/>
      <w:pPr>
        <w:tabs>
          <w:tab w:val="num" w:pos="720"/>
        </w:tabs>
        <w:ind w:left="720" w:hanging="360"/>
      </w:pPr>
      <w:rPr>
        <w:rFonts w:ascii="Symbol" w:hAnsi="Symbol" w:hint="default"/>
        <w:color w:val="auto"/>
      </w:rPr>
    </w:lvl>
    <w:lvl w:ilvl="1" w:tplc="0B029E50">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nsid w:val="0B80645C"/>
    <w:multiLevelType w:val="hybridMultilevel"/>
    <w:tmpl w:val="FD5AFDC2"/>
    <w:lvl w:ilvl="0" w:tplc="0409000F">
      <w:start w:val="1"/>
      <w:numFmt w:val="decimal"/>
      <w:lvlText w:val="%1."/>
      <w:lvlJc w:val="left"/>
      <w:pPr>
        <w:tabs>
          <w:tab w:val="num" w:pos="720"/>
        </w:tabs>
        <w:ind w:left="720" w:hanging="360"/>
      </w:pPr>
      <w:rPr>
        <w:rFonts w:cs="Times New Roman"/>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nsid w:val="0C15293B"/>
    <w:multiLevelType w:val="hybridMultilevel"/>
    <w:tmpl w:val="2D40698A"/>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11C612EC"/>
    <w:multiLevelType w:val="hybridMultilevel"/>
    <w:tmpl w:val="38C671CE"/>
    <w:lvl w:ilvl="0" w:tplc="A81603C0">
      <w:start w:val="1"/>
      <w:numFmt w:val="lowerRoman"/>
      <w:lvlText w:val="(%1)"/>
      <w:lvlJc w:val="left"/>
      <w:pPr>
        <w:tabs>
          <w:tab w:val="num" w:pos="1080"/>
        </w:tabs>
        <w:ind w:left="1080" w:hanging="72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
    <w:nsid w:val="14FE136F"/>
    <w:multiLevelType w:val="hybridMultilevel"/>
    <w:tmpl w:val="0EC84E64"/>
    <w:lvl w:ilvl="0" w:tplc="8DE40AAE">
      <w:start w:val="1"/>
      <w:numFmt w:val="lowerLetter"/>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nsid w:val="24AF749A"/>
    <w:multiLevelType w:val="hybridMultilevel"/>
    <w:tmpl w:val="0A5A5AD2"/>
    <w:lvl w:ilvl="0" w:tplc="0409000F">
      <w:start w:val="1"/>
      <w:numFmt w:val="decimal"/>
      <w:lvlText w:val="%1."/>
      <w:lvlJc w:val="left"/>
      <w:pPr>
        <w:tabs>
          <w:tab w:val="num" w:pos="360"/>
        </w:tabs>
        <w:ind w:left="360" w:hanging="360"/>
      </w:pPr>
      <w:rPr>
        <w:rFonts w:cs="Times New Roman"/>
      </w:rPr>
    </w:lvl>
    <w:lvl w:ilvl="1" w:tplc="77160C7C">
      <w:start w:val="1"/>
      <w:numFmt w:val="bullet"/>
      <w:lvlText w:val=""/>
      <w:lvlJc w:val="left"/>
      <w:pPr>
        <w:tabs>
          <w:tab w:val="num" w:pos="1080"/>
        </w:tabs>
        <w:ind w:left="1080" w:hanging="360"/>
      </w:pPr>
      <w:rPr>
        <w:rFonts w:ascii="Symbol" w:hAnsi="Symbol" w:hint="default"/>
        <w:color w:val="auto"/>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6">
    <w:nsid w:val="2A2204F6"/>
    <w:multiLevelType w:val="hybridMultilevel"/>
    <w:tmpl w:val="FD5AFDC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7">
    <w:nsid w:val="3B027B72"/>
    <w:multiLevelType w:val="hybridMultilevel"/>
    <w:tmpl w:val="2988B9A0"/>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426A138A"/>
    <w:multiLevelType w:val="hybridMultilevel"/>
    <w:tmpl w:val="7558273E"/>
    <w:lvl w:ilvl="0" w:tplc="77160C7C">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nsid w:val="4E46199A"/>
    <w:multiLevelType w:val="hybridMultilevel"/>
    <w:tmpl w:val="97541B1C"/>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0">
    <w:nsid w:val="52B07C02"/>
    <w:multiLevelType w:val="hybridMultilevel"/>
    <w:tmpl w:val="8D02252A"/>
    <w:lvl w:ilvl="0" w:tplc="00DE88F8">
      <w:start w:val="1"/>
      <w:numFmt w:val="lowerRoman"/>
      <w:lvlText w:val="(%1)"/>
      <w:lvlJc w:val="left"/>
      <w:pPr>
        <w:tabs>
          <w:tab w:val="num" w:pos="1080"/>
        </w:tabs>
        <w:ind w:left="1080" w:hanging="720"/>
      </w:pPr>
      <w:rPr>
        <w:rFonts w:cs="Times New Roman" w:hint="default"/>
      </w:rPr>
    </w:lvl>
    <w:lvl w:ilvl="1" w:tplc="25163FF2">
      <w:start w:val="1"/>
      <w:numFmt w:val="lowerLetter"/>
      <w:lvlText w:val="(%2)"/>
      <w:lvlJc w:val="left"/>
      <w:pPr>
        <w:tabs>
          <w:tab w:val="num" w:pos="1440"/>
        </w:tabs>
        <w:ind w:left="1440" w:hanging="360"/>
      </w:pPr>
      <w:rPr>
        <w:rFonts w:cs="Times New Roman" w:hint="defaul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nsid w:val="53F41118"/>
    <w:multiLevelType w:val="hybridMultilevel"/>
    <w:tmpl w:val="2D40698A"/>
    <w:lvl w:ilvl="0" w:tplc="F48C574A">
      <w:start w:val="1"/>
      <w:numFmt w:val="lowerLetter"/>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nsid w:val="5A122F04"/>
    <w:multiLevelType w:val="hybridMultilevel"/>
    <w:tmpl w:val="C38091BC"/>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nsid w:val="5E500021"/>
    <w:multiLevelType w:val="hybridMultilevel"/>
    <w:tmpl w:val="399C7558"/>
    <w:lvl w:ilvl="0" w:tplc="A81603C0">
      <w:start w:val="1"/>
      <w:numFmt w:val="lowerRoman"/>
      <w:lvlText w:val="(%1)"/>
      <w:lvlJc w:val="left"/>
      <w:pPr>
        <w:tabs>
          <w:tab w:val="num" w:pos="1080"/>
        </w:tabs>
        <w:ind w:left="1080" w:hanging="72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4">
    <w:nsid w:val="5F02170C"/>
    <w:multiLevelType w:val="hybridMultilevel"/>
    <w:tmpl w:val="0ABC2E06"/>
    <w:lvl w:ilvl="0" w:tplc="77160C7C">
      <w:start w:val="1"/>
      <w:numFmt w:val="bullet"/>
      <w:lvlText w:val=""/>
      <w:lvlJc w:val="left"/>
      <w:pPr>
        <w:tabs>
          <w:tab w:val="num" w:pos="720"/>
        </w:tabs>
        <w:ind w:left="720" w:hanging="360"/>
      </w:pPr>
      <w:rPr>
        <w:rFonts w:ascii="Symbol" w:hAnsi="Symbol" w:hint="default"/>
        <w:color w:val="auto"/>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5">
    <w:nsid w:val="68DE54F5"/>
    <w:multiLevelType w:val="hybridMultilevel"/>
    <w:tmpl w:val="22BE5AA0"/>
    <w:lvl w:ilvl="0" w:tplc="77160C7C">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nsid w:val="74B93D12"/>
    <w:multiLevelType w:val="hybridMultilevel"/>
    <w:tmpl w:val="30AEE64C"/>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7">
    <w:nsid w:val="74C03FE1"/>
    <w:multiLevelType w:val="hybridMultilevel"/>
    <w:tmpl w:val="A4D04BC4"/>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18">
    <w:nsid w:val="79C24BAE"/>
    <w:multiLevelType w:val="hybridMultilevel"/>
    <w:tmpl w:val="0ABC2E06"/>
    <w:lvl w:ilvl="0" w:tplc="A81603C0">
      <w:start w:val="1"/>
      <w:numFmt w:val="lowerRoman"/>
      <w:lvlText w:val="(%1)"/>
      <w:lvlJc w:val="left"/>
      <w:pPr>
        <w:tabs>
          <w:tab w:val="num" w:pos="1440"/>
        </w:tabs>
        <w:ind w:left="1440" w:hanging="720"/>
      </w:pPr>
      <w:rPr>
        <w:rFonts w:cs="Times New Roman" w:hint="default"/>
      </w:rPr>
    </w:lvl>
    <w:lvl w:ilvl="1" w:tplc="04090019">
      <w:start w:val="1"/>
      <w:numFmt w:val="lowerLetter"/>
      <w:lvlText w:val="%2."/>
      <w:lvlJc w:val="left"/>
      <w:pPr>
        <w:tabs>
          <w:tab w:val="num" w:pos="1800"/>
        </w:tabs>
        <w:ind w:left="1800" w:hanging="360"/>
      </w:pPr>
      <w:rPr>
        <w:rFonts w:cs="Times New Roman"/>
      </w:rPr>
    </w:lvl>
    <w:lvl w:ilvl="2" w:tplc="0409001B">
      <w:start w:val="1"/>
      <w:numFmt w:val="lowerRoman"/>
      <w:lvlText w:val="%3."/>
      <w:lvlJc w:val="right"/>
      <w:pPr>
        <w:tabs>
          <w:tab w:val="num" w:pos="2520"/>
        </w:tabs>
        <w:ind w:left="2520" w:hanging="180"/>
      </w:pPr>
      <w:rPr>
        <w:rFonts w:cs="Times New Roman"/>
      </w:rPr>
    </w:lvl>
    <w:lvl w:ilvl="3" w:tplc="0409000F">
      <w:start w:val="1"/>
      <w:numFmt w:val="decimal"/>
      <w:lvlText w:val="%4."/>
      <w:lvlJc w:val="left"/>
      <w:pPr>
        <w:tabs>
          <w:tab w:val="num" w:pos="3240"/>
        </w:tabs>
        <w:ind w:left="3240" w:hanging="360"/>
      </w:pPr>
      <w:rPr>
        <w:rFonts w:cs="Times New Roman"/>
      </w:rPr>
    </w:lvl>
    <w:lvl w:ilvl="4" w:tplc="04090019">
      <w:start w:val="1"/>
      <w:numFmt w:val="lowerLetter"/>
      <w:lvlText w:val="%5."/>
      <w:lvlJc w:val="left"/>
      <w:pPr>
        <w:tabs>
          <w:tab w:val="num" w:pos="3960"/>
        </w:tabs>
        <w:ind w:left="3960" w:hanging="360"/>
      </w:pPr>
      <w:rPr>
        <w:rFonts w:cs="Times New Roman"/>
      </w:rPr>
    </w:lvl>
    <w:lvl w:ilvl="5" w:tplc="0409001B">
      <w:start w:val="1"/>
      <w:numFmt w:val="lowerRoman"/>
      <w:lvlText w:val="%6."/>
      <w:lvlJc w:val="right"/>
      <w:pPr>
        <w:tabs>
          <w:tab w:val="num" w:pos="4680"/>
        </w:tabs>
        <w:ind w:left="4680" w:hanging="180"/>
      </w:pPr>
      <w:rPr>
        <w:rFonts w:cs="Times New Roman"/>
      </w:rPr>
    </w:lvl>
    <w:lvl w:ilvl="6" w:tplc="0409000F">
      <w:start w:val="1"/>
      <w:numFmt w:val="decimal"/>
      <w:lvlText w:val="%7."/>
      <w:lvlJc w:val="left"/>
      <w:pPr>
        <w:tabs>
          <w:tab w:val="num" w:pos="5400"/>
        </w:tabs>
        <w:ind w:left="5400" w:hanging="360"/>
      </w:pPr>
      <w:rPr>
        <w:rFonts w:cs="Times New Roman"/>
      </w:rPr>
    </w:lvl>
    <w:lvl w:ilvl="7" w:tplc="04090019">
      <w:start w:val="1"/>
      <w:numFmt w:val="lowerLetter"/>
      <w:lvlText w:val="%8."/>
      <w:lvlJc w:val="left"/>
      <w:pPr>
        <w:tabs>
          <w:tab w:val="num" w:pos="6120"/>
        </w:tabs>
        <w:ind w:left="6120" w:hanging="360"/>
      </w:pPr>
      <w:rPr>
        <w:rFonts w:cs="Times New Roman"/>
      </w:rPr>
    </w:lvl>
    <w:lvl w:ilvl="8" w:tplc="0409001B">
      <w:start w:val="1"/>
      <w:numFmt w:val="lowerRoman"/>
      <w:lvlText w:val="%9."/>
      <w:lvlJc w:val="right"/>
      <w:pPr>
        <w:tabs>
          <w:tab w:val="num" w:pos="6840"/>
        </w:tabs>
        <w:ind w:left="6840" w:hanging="180"/>
      </w:pPr>
      <w:rPr>
        <w:rFonts w:cs="Times New Roman"/>
      </w:rPr>
    </w:lvl>
  </w:abstractNum>
  <w:abstractNum w:abstractNumId="19">
    <w:nsid w:val="7A9211AE"/>
    <w:multiLevelType w:val="hybridMultilevel"/>
    <w:tmpl w:val="D9122C08"/>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hint="default"/>
      </w:rPr>
    </w:lvl>
    <w:lvl w:ilvl="8" w:tplc="0C090005" w:tentative="1">
      <w:start w:val="1"/>
      <w:numFmt w:val="bullet"/>
      <w:lvlText w:val=""/>
      <w:lvlJc w:val="left"/>
      <w:pPr>
        <w:ind w:left="7047" w:hanging="360"/>
      </w:pPr>
      <w:rPr>
        <w:rFonts w:ascii="Wingdings" w:hAnsi="Wingdings" w:hint="default"/>
      </w:rPr>
    </w:lvl>
  </w:abstractNum>
  <w:num w:numId="1">
    <w:abstractNumId w:val="16"/>
  </w:num>
  <w:num w:numId="2">
    <w:abstractNumId w:val="6"/>
  </w:num>
  <w:num w:numId="3">
    <w:abstractNumId w:val="1"/>
  </w:num>
  <w:num w:numId="4">
    <w:abstractNumId w:val="17"/>
  </w:num>
  <w:num w:numId="5">
    <w:abstractNumId w:val="11"/>
  </w:num>
  <w:num w:numId="6">
    <w:abstractNumId w:val="4"/>
  </w:num>
  <w:num w:numId="7">
    <w:abstractNumId w:val="10"/>
  </w:num>
  <w:num w:numId="8">
    <w:abstractNumId w:val="13"/>
  </w:num>
  <w:num w:numId="9">
    <w:abstractNumId w:val="2"/>
  </w:num>
  <w:num w:numId="10">
    <w:abstractNumId w:val="18"/>
  </w:num>
  <w:num w:numId="11">
    <w:abstractNumId w:val="3"/>
  </w:num>
  <w:num w:numId="12">
    <w:abstractNumId w:val="5"/>
  </w:num>
  <w:num w:numId="13">
    <w:abstractNumId w:val="12"/>
  </w:num>
  <w:num w:numId="14">
    <w:abstractNumId w:val="7"/>
  </w:num>
  <w:num w:numId="15">
    <w:abstractNumId w:val="14"/>
  </w:num>
  <w:num w:numId="16">
    <w:abstractNumId w:val="9"/>
  </w:num>
  <w:num w:numId="17">
    <w:abstractNumId w:val="8"/>
  </w:num>
  <w:num w:numId="18">
    <w:abstractNumId w:val="15"/>
  </w:num>
  <w:num w:numId="19">
    <w:abstractNumId w:val="0"/>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embedSystemFonts/>
  <w:proofState w:spelling="clean" w:grammar="clean"/>
  <w:defaultTabStop w:val="720"/>
  <w:doNotHyphenateCaps/>
  <w:drawingGridHorizontalSpacing w:val="57"/>
  <w:displayVerticalDrawingGridEvery w:val="2"/>
  <w:characterSpacingControl w:val="doNotCompress"/>
  <w:doNotValidateAgainstSchema/>
  <w:doNotDemarcateInvalidXml/>
  <w:hdrShapeDefaults>
    <o:shapedefaults v:ext="edit" spidmax="205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1C78"/>
    <w:rsid w:val="00071C78"/>
    <w:rsid w:val="002F6F30"/>
    <w:rsid w:val="003A32B2"/>
    <w:rsid w:val="004B279E"/>
    <w:rsid w:val="00506C36"/>
    <w:rsid w:val="005A2817"/>
    <w:rsid w:val="00615F74"/>
    <w:rsid w:val="006672F4"/>
    <w:rsid w:val="008028A1"/>
    <w:rsid w:val="00963BAC"/>
    <w:rsid w:val="00B77B72"/>
    <w:rsid w:val="00D17AAD"/>
    <w:rsid w:val="00E739D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3"/>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imes New Roman"/>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nhideWhenUsed="0" w:qFormat="1"/>
    <w:lsdException w:name="Default Paragraph Font" w:unhideWhenUsed="0"/>
    <w:lsdException w:name="Body Text" w:unhideWhenUsed="0"/>
    <w:lsdException w:name="Subtitle" w:semiHidden="0" w:unhideWhenUsed="0" w:qFormat="1"/>
    <w:lsdException w:name="Body Text 2"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tabs>
        <w:tab w:val="left" w:pos="1701"/>
      </w:tabs>
      <w:spacing w:after="0" w:line="240" w:lineRule="auto"/>
    </w:pPr>
    <w:rPr>
      <w:rFonts w:ascii="Arial" w:hAnsi="Arial" w:cs="Arial"/>
      <w:sz w:val="24"/>
      <w:szCs w:val="24"/>
      <w:lang w:eastAsia="en-US"/>
    </w:rPr>
  </w:style>
  <w:style w:type="paragraph" w:styleId="Heading1">
    <w:name w:val="heading 1"/>
    <w:basedOn w:val="Normal"/>
    <w:next w:val="Normal"/>
    <w:link w:val="Heading1Char"/>
    <w:uiPriority w:val="99"/>
    <w:qFormat/>
    <w:pPr>
      <w:keepNext/>
      <w:tabs>
        <w:tab w:val="right" w:pos="7002"/>
      </w:tabs>
      <w:overflowPunct w:val="0"/>
      <w:autoSpaceDE w:val="0"/>
      <w:autoSpaceDN w:val="0"/>
      <w:adjustRightInd w:val="0"/>
      <w:spacing w:before="240" w:after="240"/>
      <w:textAlignment w:val="baseline"/>
      <w:outlineLvl w:val="0"/>
    </w:pPr>
    <w:rPr>
      <w:b/>
      <w:bCs/>
    </w:rPr>
  </w:style>
  <w:style w:type="paragraph" w:styleId="Heading2">
    <w:name w:val="heading 2"/>
    <w:basedOn w:val="Normal"/>
    <w:next w:val="Normal"/>
    <w:link w:val="Heading2Char"/>
    <w:uiPriority w:val="99"/>
    <w:qFormat/>
    <w:pPr>
      <w:keepNext/>
      <w:ind w:left="360"/>
      <w:outlineLvl w:val="1"/>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Theme="majorHAnsi" w:eastAsiaTheme="majorEastAsia" w:hAnsiTheme="majorHAnsi" w:cs="Times New Roman"/>
      <w:b/>
      <w:bCs/>
      <w:kern w:val="32"/>
      <w:sz w:val="32"/>
      <w:szCs w:val="32"/>
      <w:lang w:val="x-none" w:eastAsia="en-US"/>
    </w:rPr>
  </w:style>
  <w:style w:type="character" w:customStyle="1" w:styleId="Heading2Char">
    <w:name w:val="Heading 2 Char"/>
    <w:basedOn w:val="DefaultParagraphFont"/>
    <w:link w:val="Heading2"/>
    <w:uiPriority w:val="9"/>
    <w:semiHidden/>
    <w:locked/>
    <w:rPr>
      <w:rFonts w:asciiTheme="majorHAnsi" w:eastAsiaTheme="majorEastAsia" w:hAnsiTheme="majorHAnsi" w:cs="Times New Roman"/>
      <w:b/>
      <w:bCs/>
      <w:i/>
      <w:iCs/>
      <w:sz w:val="28"/>
      <w:szCs w:val="28"/>
      <w:lang w:val="x-none" w:eastAsia="en-US"/>
    </w:rPr>
  </w:style>
  <w:style w:type="paragraph" w:styleId="BodyText">
    <w:name w:val="Body Text"/>
    <w:basedOn w:val="Normal"/>
    <w:link w:val="BodyTextChar"/>
    <w:uiPriority w:val="99"/>
    <w:rPr>
      <w:sz w:val="20"/>
      <w:szCs w:val="20"/>
    </w:rPr>
  </w:style>
  <w:style w:type="character" w:customStyle="1" w:styleId="BodyTextChar">
    <w:name w:val="Body Text Char"/>
    <w:basedOn w:val="DefaultParagraphFont"/>
    <w:link w:val="BodyText"/>
    <w:uiPriority w:val="99"/>
    <w:semiHidden/>
    <w:locked/>
    <w:rPr>
      <w:rFonts w:ascii="Arial" w:hAnsi="Arial" w:cs="Arial"/>
      <w:sz w:val="24"/>
      <w:szCs w:val="24"/>
      <w:lang w:val="x-none" w:eastAsia="en-US"/>
    </w:rPr>
  </w:style>
  <w:style w:type="paragraph" w:styleId="BodyText2">
    <w:name w:val="Body Text 2"/>
    <w:basedOn w:val="Normal"/>
    <w:link w:val="BodyText2Char"/>
    <w:uiPriority w:val="99"/>
    <w:pPr>
      <w:ind w:left="720"/>
    </w:pPr>
  </w:style>
  <w:style w:type="character" w:customStyle="1" w:styleId="BodyText2Char">
    <w:name w:val="Body Text 2 Char"/>
    <w:basedOn w:val="DefaultParagraphFont"/>
    <w:link w:val="BodyText2"/>
    <w:uiPriority w:val="99"/>
    <w:semiHidden/>
    <w:locked/>
    <w:rPr>
      <w:rFonts w:ascii="Arial" w:hAnsi="Arial" w:cs="Arial"/>
      <w:sz w:val="24"/>
      <w:szCs w:val="24"/>
      <w:lang w:val="x-none" w:eastAsia="en-US"/>
    </w:rPr>
  </w:style>
  <w:style w:type="paragraph" w:styleId="Title">
    <w:name w:val="Title"/>
    <w:basedOn w:val="Normal"/>
    <w:link w:val="TitleChar"/>
    <w:uiPriority w:val="99"/>
    <w:qFormat/>
    <w:pPr>
      <w:jc w:val="center"/>
    </w:pPr>
    <w:rPr>
      <w:b/>
      <w:bCs/>
    </w:rPr>
  </w:style>
  <w:style w:type="character" w:customStyle="1" w:styleId="TitleChar">
    <w:name w:val="Title Char"/>
    <w:basedOn w:val="DefaultParagraphFont"/>
    <w:link w:val="Title"/>
    <w:uiPriority w:val="10"/>
    <w:locked/>
    <w:rPr>
      <w:rFonts w:asciiTheme="majorHAnsi" w:eastAsiaTheme="majorEastAsia" w:hAnsiTheme="majorHAnsi" w:cs="Times New Roman"/>
      <w:b/>
      <w:bCs/>
      <w:kern w:val="28"/>
      <w:sz w:val="32"/>
      <w:szCs w:val="32"/>
      <w:lang w:val="x-none" w:eastAsia="en-US"/>
    </w:rPr>
  </w:style>
  <w:style w:type="paragraph" w:styleId="Subtitle">
    <w:name w:val="Subtitle"/>
    <w:basedOn w:val="Normal"/>
    <w:link w:val="SubtitleChar"/>
    <w:uiPriority w:val="99"/>
    <w:qFormat/>
    <w:pPr>
      <w:jc w:val="center"/>
    </w:pPr>
    <w:rPr>
      <w:b/>
      <w:bCs/>
    </w:rPr>
  </w:style>
  <w:style w:type="character" w:customStyle="1" w:styleId="SubtitleChar">
    <w:name w:val="Subtitle Char"/>
    <w:basedOn w:val="DefaultParagraphFont"/>
    <w:link w:val="Subtitle"/>
    <w:uiPriority w:val="11"/>
    <w:locked/>
    <w:rPr>
      <w:rFonts w:asciiTheme="majorHAnsi" w:eastAsiaTheme="majorEastAsia" w:hAnsiTheme="majorHAnsi" w:cs="Times New Roman"/>
      <w:sz w:val="24"/>
      <w:szCs w:val="24"/>
      <w:lang w:val="x-none" w:eastAsia="en-US"/>
    </w:rPr>
  </w:style>
  <w:style w:type="paragraph" w:styleId="Header">
    <w:name w:val="header"/>
    <w:basedOn w:val="Normal"/>
    <w:link w:val="HeaderChar"/>
    <w:uiPriority w:val="99"/>
    <w:unhideWhenUsed/>
    <w:rsid w:val="005A2817"/>
    <w:pPr>
      <w:tabs>
        <w:tab w:val="clear" w:pos="1701"/>
        <w:tab w:val="center" w:pos="4513"/>
        <w:tab w:val="right" w:pos="9026"/>
      </w:tabs>
    </w:pPr>
  </w:style>
  <w:style w:type="character" w:customStyle="1" w:styleId="HeaderChar">
    <w:name w:val="Header Char"/>
    <w:basedOn w:val="DefaultParagraphFont"/>
    <w:link w:val="Header"/>
    <w:uiPriority w:val="99"/>
    <w:locked/>
    <w:rsid w:val="005A2817"/>
    <w:rPr>
      <w:rFonts w:ascii="Arial" w:hAnsi="Arial" w:cs="Arial"/>
      <w:sz w:val="24"/>
      <w:szCs w:val="24"/>
      <w:lang w:val="x-none" w:eastAsia="en-US"/>
    </w:rPr>
  </w:style>
  <w:style w:type="paragraph" w:styleId="Footer">
    <w:name w:val="footer"/>
    <w:basedOn w:val="Normal"/>
    <w:link w:val="FooterChar"/>
    <w:uiPriority w:val="99"/>
    <w:unhideWhenUsed/>
    <w:rsid w:val="005A2817"/>
    <w:pPr>
      <w:tabs>
        <w:tab w:val="clear" w:pos="1701"/>
        <w:tab w:val="center" w:pos="4513"/>
        <w:tab w:val="right" w:pos="9026"/>
      </w:tabs>
    </w:pPr>
  </w:style>
  <w:style w:type="character" w:customStyle="1" w:styleId="FooterChar">
    <w:name w:val="Footer Char"/>
    <w:basedOn w:val="DefaultParagraphFont"/>
    <w:link w:val="Footer"/>
    <w:uiPriority w:val="99"/>
    <w:locked/>
    <w:rsid w:val="005A2817"/>
    <w:rPr>
      <w:rFonts w:ascii="Arial" w:hAnsi="Arial" w:cs="Arial"/>
      <w:sz w:val="24"/>
      <w:szCs w:val="24"/>
      <w:lang w:val="x-none" w:eastAsia="en-US"/>
    </w:rPr>
  </w:style>
  <w:style w:type="paragraph" w:styleId="BalloonText">
    <w:name w:val="Balloon Text"/>
    <w:basedOn w:val="Normal"/>
    <w:link w:val="BalloonTextChar"/>
    <w:uiPriority w:val="99"/>
    <w:semiHidden/>
    <w:unhideWhenUsed/>
    <w:rsid w:val="005A281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A2817"/>
    <w:rPr>
      <w:rFonts w:ascii="Tahoma" w:hAnsi="Tahoma" w:cs="Tahoma"/>
      <w:sz w:val="16"/>
      <w:szCs w:val="16"/>
      <w:lang w:val="x-non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imes New Roman"/>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nhideWhenUsed="0" w:qFormat="1"/>
    <w:lsdException w:name="Default Paragraph Font" w:unhideWhenUsed="0"/>
    <w:lsdException w:name="Body Text" w:unhideWhenUsed="0"/>
    <w:lsdException w:name="Subtitle" w:semiHidden="0" w:unhideWhenUsed="0" w:qFormat="1"/>
    <w:lsdException w:name="Body Text 2"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tabs>
        <w:tab w:val="left" w:pos="1701"/>
      </w:tabs>
      <w:spacing w:after="0" w:line="240" w:lineRule="auto"/>
    </w:pPr>
    <w:rPr>
      <w:rFonts w:ascii="Arial" w:hAnsi="Arial" w:cs="Arial"/>
      <w:sz w:val="24"/>
      <w:szCs w:val="24"/>
      <w:lang w:eastAsia="en-US"/>
    </w:rPr>
  </w:style>
  <w:style w:type="paragraph" w:styleId="Heading1">
    <w:name w:val="heading 1"/>
    <w:basedOn w:val="Normal"/>
    <w:next w:val="Normal"/>
    <w:link w:val="Heading1Char"/>
    <w:uiPriority w:val="99"/>
    <w:qFormat/>
    <w:pPr>
      <w:keepNext/>
      <w:tabs>
        <w:tab w:val="right" w:pos="7002"/>
      </w:tabs>
      <w:overflowPunct w:val="0"/>
      <w:autoSpaceDE w:val="0"/>
      <w:autoSpaceDN w:val="0"/>
      <w:adjustRightInd w:val="0"/>
      <w:spacing w:before="240" w:after="240"/>
      <w:textAlignment w:val="baseline"/>
      <w:outlineLvl w:val="0"/>
    </w:pPr>
    <w:rPr>
      <w:b/>
      <w:bCs/>
    </w:rPr>
  </w:style>
  <w:style w:type="paragraph" w:styleId="Heading2">
    <w:name w:val="heading 2"/>
    <w:basedOn w:val="Normal"/>
    <w:next w:val="Normal"/>
    <w:link w:val="Heading2Char"/>
    <w:uiPriority w:val="99"/>
    <w:qFormat/>
    <w:pPr>
      <w:keepNext/>
      <w:ind w:left="360"/>
      <w:outlineLvl w:val="1"/>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Theme="majorHAnsi" w:eastAsiaTheme="majorEastAsia" w:hAnsiTheme="majorHAnsi" w:cs="Times New Roman"/>
      <w:b/>
      <w:bCs/>
      <w:kern w:val="32"/>
      <w:sz w:val="32"/>
      <w:szCs w:val="32"/>
      <w:lang w:val="x-none" w:eastAsia="en-US"/>
    </w:rPr>
  </w:style>
  <w:style w:type="character" w:customStyle="1" w:styleId="Heading2Char">
    <w:name w:val="Heading 2 Char"/>
    <w:basedOn w:val="DefaultParagraphFont"/>
    <w:link w:val="Heading2"/>
    <w:uiPriority w:val="9"/>
    <w:semiHidden/>
    <w:locked/>
    <w:rPr>
      <w:rFonts w:asciiTheme="majorHAnsi" w:eastAsiaTheme="majorEastAsia" w:hAnsiTheme="majorHAnsi" w:cs="Times New Roman"/>
      <w:b/>
      <w:bCs/>
      <w:i/>
      <w:iCs/>
      <w:sz w:val="28"/>
      <w:szCs w:val="28"/>
      <w:lang w:val="x-none" w:eastAsia="en-US"/>
    </w:rPr>
  </w:style>
  <w:style w:type="paragraph" w:styleId="BodyText">
    <w:name w:val="Body Text"/>
    <w:basedOn w:val="Normal"/>
    <w:link w:val="BodyTextChar"/>
    <w:uiPriority w:val="99"/>
    <w:rPr>
      <w:sz w:val="20"/>
      <w:szCs w:val="20"/>
    </w:rPr>
  </w:style>
  <w:style w:type="character" w:customStyle="1" w:styleId="BodyTextChar">
    <w:name w:val="Body Text Char"/>
    <w:basedOn w:val="DefaultParagraphFont"/>
    <w:link w:val="BodyText"/>
    <w:uiPriority w:val="99"/>
    <w:semiHidden/>
    <w:locked/>
    <w:rPr>
      <w:rFonts w:ascii="Arial" w:hAnsi="Arial" w:cs="Arial"/>
      <w:sz w:val="24"/>
      <w:szCs w:val="24"/>
      <w:lang w:val="x-none" w:eastAsia="en-US"/>
    </w:rPr>
  </w:style>
  <w:style w:type="paragraph" w:styleId="BodyText2">
    <w:name w:val="Body Text 2"/>
    <w:basedOn w:val="Normal"/>
    <w:link w:val="BodyText2Char"/>
    <w:uiPriority w:val="99"/>
    <w:pPr>
      <w:ind w:left="720"/>
    </w:pPr>
  </w:style>
  <w:style w:type="character" w:customStyle="1" w:styleId="BodyText2Char">
    <w:name w:val="Body Text 2 Char"/>
    <w:basedOn w:val="DefaultParagraphFont"/>
    <w:link w:val="BodyText2"/>
    <w:uiPriority w:val="99"/>
    <w:semiHidden/>
    <w:locked/>
    <w:rPr>
      <w:rFonts w:ascii="Arial" w:hAnsi="Arial" w:cs="Arial"/>
      <w:sz w:val="24"/>
      <w:szCs w:val="24"/>
      <w:lang w:val="x-none" w:eastAsia="en-US"/>
    </w:rPr>
  </w:style>
  <w:style w:type="paragraph" w:styleId="Title">
    <w:name w:val="Title"/>
    <w:basedOn w:val="Normal"/>
    <w:link w:val="TitleChar"/>
    <w:uiPriority w:val="99"/>
    <w:qFormat/>
    <w:pPr>
      <w:jc w:val="center"/>
    </w:pPr>
    <w:rPr>
      <w:b/>
      <w:bCs/>
    </w:rPr>
  </w:style>
  <w:style w:type="character" w:customStyle="1" w:styleId="TitleChar">
    <w:name w:val="Title Char"/>
    <w:basedOn w:val="DefaultParagraphFont"/>
    <w:link w:val="Title"/>
    <w:uiPriority w:val="10"/>
    <w:locked/>
    <w:rPr>
      <w:rFonts w:asciiTheme="majorHAnsi" w:eastAsiaTheme="majorEastAsia" w:hAnsiTheme="majorHAnsi" w:cs="Times New Roman"/>
      <w:b/>
      <w:bCs/>
      <w:kern w:val="28"/>
      <w:sz w:val="32"/>
      <w:szCs w:val="32"/>
      <w:lang w:val="x-none" w:eastAsia="en-US"/>
    </w:rPr>
  </w:style>
  <w:style w:type="paragraph" w:styleId="Subtitle">
    <w:name w:val="Subtitle"/>
    <w:basedOn w:val="Normal"/>
    <w:link w:val="SubtitleChar"/>
    <w:uiPriority w:val="99"/>
    <w:qFormat/>
    <w:pPr>
      <w:jc w:val="center"/>
    </w:pPr>
    <w:rPr>
      <w:b/>
      <w:bCs/>
    </w:rPr>
  </w:style>
  <w:style w:type="character" w:customStyle="1" w:styleId="SubtitleChar">
    <w:name w:val="Subtitle Char"/>
    <w:basedOn w:val="DefaultParagraphFont"/>
    <w:link w:val="Subtitle"/>
    <w:uiPriority w:val="11"/>
    <w:locked/>
    <w:rPr>
      <w:rFonts w:asciiTheme="majorHAnsi" w:eastAsiaTheme="majorEastAsia" w:hAnsiTheme="majorHAnsi" w:cs="Times New Roman"/>
      <w:sz w:val="24"/>
      <w:szCs w:val="24"/>
      <w:lang w:val="x-none" w:eastAsia="en-US"/>
    </w:rPr>
  </w:style>
  <w:style w:type="paragraph" w:styleId="Header">
    <w:name w:val="header"/>
    <w:basedOn w:val="Normal"/>
    <w:link w:val="HeaderChar"/>
    <w:uiPriority w:val="99"/>
    <w:unhideWhenUsed/>
    <w:rsid w:val="005A2817"/>
    <w:pPr>
      <w:tabs>
        <w:tab w:val="clear" w:pos="1701"/>
        <w:tab w:val="center" w:pos="4513"/>
        <w:tab w:val="right" w:pos="9026"/>
      </w:tabs>
    </w:pPr>
  </w:style>
  <w:style w:type="character" w:customStyle="1" w:styleId="HeaderChar">
    <w:name w:val="Header Char"/>
    <w:basedOn w:val="DefaultParagraphFont"/>
    <w:link w:val="Header"/>
    <w:uiPriority w:val="99"/>
    <w:locked/>
    <w:rsid w:val="005A2817"/>
    <w:rPr>
      <w:rFonts w:ascii="Arial" w:hAnsi="Arial" w:cs="Arial"/>
      <w:sz w:val="24"/>
      <w:szCs w:val="24"/>
      <w:lang w:val="x-none" w:eastAsia="en-US"/>
    </w:rPr>
  </w:style>
  <w:style w:type="paragraph" w:styleId="Footer">
    <w:name w:val="footer"/>
    <w:basedOn w:val="Normal"/>
    <w:link w:val="FooterChar"/>
    <w:uiPriority w:val="99"/>
    <w:unhideWhenUsed/>
    <w:rsid w:val="005A2817"/>
    <w:pPr>
      <w:tabs>
        <w:tab w:val="clear" w:pos="1701"/>
        <w:tab w:val="center" w:pos="4513"/>
        <w:tab w:val="right" w:pos="9026"/>
      </w:tabs>
    </w:pPr>
  </w:style>
  <w:style w:type="character" w:customStyle="1" w:styleId="FooterChar">
    <w:name w:val="Footer Char"/>
    <w:basedOn w:val="DefaultParagraphFont"/>
    <w:link w:val="Footer"/>
    <w:uiPriority w:val="99"/>
    <w:locked/>
    <w:rsid w:val="005A2817"/>
    <w:rPr>
      <w:rFonts w:ascii="Arial" w:hAnsi="Arial" w:cs="Arial"/>
      <w:sz w:val="24"/>
      <w:szCs w:val="24"/>
      <w:lang w:val="x-none" w:eastAsia="en-US"/>
    </w:rPr>
  </w:style>
  <w:style w:type="paragraph" w:styleId="BalloonText">
    <w:name w:val="Balloon Text"/>
    <w:basedOn w:val="Normal"/>
    <w:link w:val="BalloonTextChar"/>
    <w:uiPriority w:val="99"/>
    <w:semiHidden/>
    <w:unhideWhenUsed/>
    <w:rsid w:val="005A281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A2817"/>
    <w:rPr>
      <w:rFonts w:ascii="Tahoma" w:hAnsi="Tahoma" w:cs="Tahoma"/>
      <w:sz w:val="16"/>
      <w:szCs w:val="16"/>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pixelsPerInch w:val="120"/>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F3E3F3-4771-490F-9921-FD713C926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1168A8F3.dotm</Template>
  <TotalTime>40</TotalTime>
  <Pages>4</Pages>
  <Words>1128</Words>
  <Characters>5747</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SC X – SUPREME COURT – AFFIDAVITS</vt:lpstr>
    </vt:vector>
  </TitlesOfParts>
  <Company>NSW Attorney General's Department</Company>
  <LinksUpToDate>false</LinksUpToDate>
  <CharactersWithSpaces>6862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 X – SUPREME COURT – AFFIDAVITS</dc:title>
  <dc:creator>Jerry</dc:creator>
  <cp:lastModifiedBy>Victoria Bradshaw</cp:lastModifiedBy>
  <cp:revision>3</cp:revision>
  <cp:lastPrinted>2019-10-03T22:39:00Z</cp:lastPrinted>
  <dcterms:created xsi:type="dcterms:W3CDTF">2019-10-03T22:33:00Z</dcterms:created>
  <dcterms:modified xsi:type="dcterms:W3CDTF">2019-10-03T23:14:00Z</dcterms:modified>
</cp:coreProperties>
</file>